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68" w:rsidRDefault="00136668" w:rsidP="00136668">
      <w:pPr>
        <w:bidi/>
        <w:jc w:val="center"/>
      </w:pPr>
      <w:r>
        <w:rPr>
          <w:noProof/>
        </w:rPr>
        <w:drawing>
          <wp:inline distT="0" distB="0" distL="0" distR="0" wp14:anchorId="5B021142" wp14:editId="795CEA10">
            <wp:extent cx="5553075" cy="6715125"/>
            <wp:effectExtent l="0" t="0" r="9525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AFB" w:rsidRDefault="00136668" w:rsidP="00136668">
      <w:pPr>
        <w:tabs>
          <w:tab w:val="left" w:pos="3540"/>
        </w:tabs>
        <w:bidi/>
        <w:rPr>
          <w:rFonts w:hint="cs"/>
          <w:rtl/>
        </w:rPr>
      </w:pPr>
      <w:r>
        <w:rPr>
          <w:rtl/>
        </w:rPr>
        <w:tab/>
      </w:r>
    </w:p>
    <w:p w:rsidR="00136668" w:rsidRDefault="00136668" w:rsidP="00136668">
      <w:pPr>
        <w:tabs>
          <w:tab w:val="left" w:pos="3540"/>
        </w:tabs>
        <w:bidi/>
        <w:rPr>
          <w:rFonts w:hint="cs"/>
          <w:rtl/>
        </w:rPr>
      </w:pPr>
    </w:p>
    <w:p w:rsidR="00136668" w:rsidRDefault="00136668" w:rsidP="00136668">
      <w:pPr>
        <w:tabs>
          <w:tab w:val="left" w:pos="3540"/>
        </w:tabs>
        <w:bidi/>
        <w:rPr>
          <w:rFonts w:hint="cs"/>
          <w:rtl/>
        </w:rPr>
      </w:pPr>
    </w:p>
    <w:p w:rsidR="00136668" w:rsidRDefault="00136668" w:rsidP="00136668">
      <w:pPr>
        <w:tabs>
          <w:tab w:val="left" w:pos="3540"/>
        </w:tabs>
        <w:bidi/>
        <w:rPr>
          <w:rFonts w:hint="cs"/>
          <w:rtl/>
        </w:rPr>
      </w:pPr>
    </w:p>
    <w:p w:rsidR="00136668" w:rsidRPr="00136668" w:rsidRDefault="00136668" w:rsidP="00136668">
      <w:pPr>
        <w:tabs>
          <w:tab w:val="left" w:pos="3540"/>
        </w:tabs>
        <w:spacing w:line="360" w:lineRule="auto"/>
        <w:jc w:val="both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136668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Abstract </w:t>
      </w:r>
    </w:p>
    <w:p w:rsidR="00136668" w:rsidRPr="00136668" w:rsidRDefault="00136668" w:rsidP="00136668">
      <w:pPr>
        <w:tabs>
          <w:tab w:val="left" w:pos="3540"/>
        </w:tabs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bookmarkStart w:id="0" w:name="_GoBack"/>
      <w:bookmarkEnd w:id="0"/>
      <w:r w:rsidRPr="00136668">
        <w:rPr>
          <w:rFonts w:asciiTheme="majorBidi" w:hAnsiTheme="majorBidi" w:cstheme="majorBidi"/>
          <w:sz w:val="28"/>
          <w:szCs w:val="28"/>
        </w:rPr>
        <w:t xml:space="preserve">The study involved the preparation and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characterisation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of a new hetero cyclic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azo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ligand 2-[2’-(5-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methylthiazolyl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azo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]-5-,6-dimethyl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benzoimidazol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derived from 2-amino-5-methyl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thiazole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. A series of metal complexes were prepared with the metal ions Co(III), Ni(II), Cu(II), Ag(I), and Au(III).The prepared compounds were identified by FTIR spectra, 1HNMR , 13CNMR spectra, mass spectrometry, UV-Vis spectrometry, TGA technique, FESEM ,and XRD spectroscopy as well as elemental microanalysis (C.H.N.S). The results showed the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azoi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ligandi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2-[2’-(5-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methylthiazolyl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azo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]-5-,6-dimethyl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benzoimidazol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behavesi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as a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bidentatei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ligand. The molar ratio of the studied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metali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ions Co(III) and Cu(II) in their coordination complexes were determined (1:2) [ M:L], and the expected shape of these complexes is octahedral. On the other hand, the Ni(II),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Agi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(I), and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Aui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(III) were (1:1) [M: L] and the expected shape of these complexes were tetrahedral with ion Ag(I), and square planar with Ni(II), Au(III) ions. Finally, the new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azo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ligand and its metal complexes were tested in vitro for antimicrobial activity against two types of bacteria (Streptococcus, Escherichia coli) and one type of fungus (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Penicillium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36668">
        <w:rPr>
          <w:rFonts w:asciiTheme="majorBidi" w:hAnsiTheme="majorBidi" w:cstheme="majorBidi"/>
          <w:sz w:val="28"/>
          <w:szCs w:val="28"/>
        </w:rPr>
        <w:t>sp</w:t>
      </w:r>
      <w:proofErr w:type="spellEnd"/>
      <w:r w:rsidRPr="00136668">
        <w:rPr>
          <w:rFonts w:asciiTheme="majorBidi" w:hAnsiTheme="majorBidi" w:cstheme="majorBidi"/>
          <w:sz w:val="28"/>
          <w:szCs w:val="28"/>
        </w:rPr>
        <w:t>). Toxicity examinations of some compounds prepared on human cells for cancer (lung, and pancreas) were studied to find out the possibility of using this type of compound as a drug by treating it with human cancer cells.</w:t>
      </w:r>
    </w:p>
    <w:sectPr w:rsidR="00136668" w:rsidRPr="00136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B75"/>
    <w:rsid w:val="00052AFB"/>
    <w:rsid w:val="00136668"/>
    <w:rsid w:val="004E0B75"/>
    <w:rsid w:val="00A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36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3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36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DR.Ahmed Saker 2O11</cp:lastModifiedBy>
  <cp:revision>5</cp:revision>
  <cp:lastPrinted>2025-01-23T10:15:00Z</cp:lastPrinted>
  <dcterms:created xsi:type="dcterms:W3CDTF">2025-01-23T10:06:00Z</dcterms:created>
  <dcterms:modified xsi:type="dcterms:W3CDTF">2025-01-23T10:16:00Z</dcterms:modified>
</cp:coreProperties>
</file>