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8D2" w:rsidRPr="0035686C" w:rsidRDefault="008D08D2" w:rsidP="0035686C">
      <w:pPr>
        <w:bidi w:val="0"/>
        <w:spacing w:line="240" w:lineRule="auto"/>
        <w:jc w:val="center"/>
        <w:rPr>
          <w:rFonts w:asciiTheme="majorBidi" w:hAnsiTheme="majorBidi" w:cstheme="majorBidi"/>
          <w:sz w:val="28"/>
          <w:szCs w:val="28"/>
          <w:u w:val="single"/>
          <w:lang w:bidi="ar-IQ"/>
        </w:rPr>
      </w:pPr>
      <w:r w:rsidRPr="0035686C">
        <w:rPr>
          <w:rFonts w:asciiTheme="majorBidi" w:hAnsiTheme="majorBidi" w:cstheme="majorBidi"/>
          <w:sz w:val="28"/>
          <w:szCs w:val="28"/>
          <w:u w:val="single"/>
          <w:lang w:bidi="ar-IQ"/>
        </w:rPr>
        <w:t>Medical Embryology</w:t>
      </w:r>
    </w:p>
    <w:p w:rsidR="008D08D2" w:rsidRPr="0035686C" w:rsidRDefault="0035686C" w:rsidP="0035686C">
      <w:pPr>
        <w:bidi w:val="0"/>
        <w:spacing w:line="240" w:lineRule="auto"/>
        <w:contextualSpacing/>
        <w:rPr>
          <w:rFonts w:asciiTheme="majorBidi" w:hAnsiTheme="majorBidi" w:cstheme="majorBidi"/>
          <w:sz w:val="28"/>
          <w:szCs w:val="28"/>
          <w:lang w:bidi="ar-IQ"/>
        </w:rPr>
      </w:pPr>
      <w:r w:rsidRPr="0035686C">
        <w:rPr>
          <w:rFonts w:asciiTheme="majorBidi" w:hAnsiTheme="majorBidi" w:cstheme="majorBidi"/>
          <w:sz w:val="28"/>
          <w:szCs w:val="28"/>
          <w:lang w:bidi="ar-IQ"/>
        </w:rPr>
        <w:t>second</w:t>
      </w:r>
      <w:r w:rsidR="008D08D2" w:rsidRPr="0035686C">
        <w:rPr>
          <w:rFonts w:asciiTheme="majorBidi" w:hAnsiTheme="majorBidi" w:cstheme="majorBidi"/>
          <w:sz w:val="28"/>
          <w:szCs w:val="28"/>
          <w:lang w:bidi="ar-IQ"/>
        </w:rPr>
        <w:t xml:space="preserve"> lecture</w:t>
      </w:r>
    </w:p>
    <w:p w:rsidR="008D08D2" w:rsidRPr="0035686C" w:rsidRDefault="008D08D2" w:rsidP="0035686C">
      <w:pPr>
        <w:bidi w:val="0"/>
        <w:spacing w:line="240" w:lineRule="auto"/>
        <w:contextualSpacing/>
        <w:rPr>
          <w:rFonts w:asciiTheme="majorBidi" w:hAnsiTheme="majorBidi" w:cstheme="majorBidi"/>
          <w:sz w:val="28"/>
          <w:szCs w:val="28"/>
          <w:lang w:bidi="ar-IQ"/>
        </w:rPr>
      </w:pPr>
      <w:r w:rsidRPr="0035686C">
        <w:rPr>
          <w:rFonts w:asciiTheme="majorBidi" w:hAnsiTheme="majorBidi" w:cstheme="majorBidi"/>
          <w:sz w:val="28"/>
          <w:szCs w:val="28"/>
          <w:lang w:bidi="ar-IQ"/>
        </w:rPr>
        <w:t>By</w:t>
      </w:r>
    </w:p>
    <w:p w:rsidR="008D08D2" w:rsidRPr="0035686C" w:rsidRDefault="008D08D2" w:rsidP="0035686C">
      <w:pPr>
        <w:bidi w:val="0"/>
        <w:spacing w:line="240" w:lineRule="auto"/>
        <w:contextualSpacing/>
        <w:rPr>
          <w:rFonts w:asciiTheme="majorBidi" w:hAnsiTheme="majorBidi" w:cstheme="majorBidi"/>
          <w:sz w:val="28"/>
          <w:szCs w:val="28"/>
          <w:lang w:bidi="ar-IQ"/>
        </w:rPr>
      </w:pPr>
      <w:r w:rsidRPr="0035686C">
        <w:rPr>
          <w:rFonts w:asciiTheme="majorBidi" w:hAnsiTheme="majorBidi" w:cstheme="majorBidi"/>
          <w:sz w:val="28"/>
          <w:szCs w:val="28"/>
          <w:lang w:bidi="ar-IQ"/>
        </w:rPr>
        <w:t xml:space="preserve">Dr. </w:t>
      </w:r>
      <w:r w:rsidR="0035686C" w:rsidRPr="0035686C">
        <w:rPr>
          <w:rFonts w:asciiTheme="majorBidi" w:hAnsiTheme="majorBidi" w:cstheme="majorBidi"/>
          <w:sz w:val="28"/>
          <w:szCs w:val="28"/>
          <w:lang w:bidi="ar-IQ"/>
        </w:rPr>
        <w:t>Bassim Abdullah jassim</w:t>
      </w:r>
    </w:p>
    <w:p w:rsidR="008D08D2" w:rsidRPr="0035686C" w:rsidRDefault="008D08D2" w:rsidP="0035686C">
      <w:pPr>
        <w:bidi w:val="0"/>
        <w:spacing w:line="240" w:lineRule="auto"/>
        <w:contextualSpacing/>
        <w:rPr>
          <w:rFonts w:asciiTheme="majorBidi" w:hAnsiTheme="majorBidi" w:cstheme="majorBidi"/>
          <w:sz w:val="28"/>
          <w:szCs w:val="28"/>
          <w:rtl/>
          <w:lang w:bidi="ar-IQ"/>
        </w:rPr>
      </w:pPr>
      <w:r w:rsidRPr="0035686C">
        <w:rPr>
          <w:rFonts w:asciiTheme="majorBidi" w:hAnsiTheme="majorBidi" w:cstheme="majorBidi"/>
          <w:sz w:val="28"/>
          <w:szCs w:val="28"/>
          <w:lang w:bidi="ar-IQ"/>
        </w:rPr>
        <w:t xml:space="preserve">College of </w:t>
      </w:r>
      <w:r w:rsidR="0035686C" w:rsidRPr="0035686C">
        <w:rPr>
          <w:rFonts w:asciiTheme="majorBidi" w:hAnsiTheme="majorBidi" w:cstheme="majorBidi"/>
          <w:sz w:val="28"/>
          <w:szCs w:val="28"/>
          <w:lang w:bidi="ar-IQ"/>
        </w:rPr>
        <w:t xml:space="preserve">science </w:t>
      </w:r>
      <w:r w:rsidR="0035686C" w:rsidRPr="0035686C">
        <w:rPr>
          <w:rFonts w:asciiTheme="majorBidi" w:hAnsiTheme="majorBidi" w:cstheme="majorBidi"/>
          <w:sz w:val="28"/>
          <w:szCs w:val="28"/>
          <w:lang w:bidi="ar-IQ"/>
        </w:rPr>
        <w:br/>
        <w:t>forth stage</w:t>
      </w:r>
    </w:p>
    <w:p w:rsidR="008D08D2" w:rsidRPr="0035686C" w:rsidRDefault="00B921C7" w:rsidP="0035686C">
      <w:pPr>
        <w:bidi w:val="0"/>
        <w:spacing w:line="360" w:lineRule="auto"/>
        <w:rPr>
          <w:rFonts w:asciiTheme="majorBidi" w:hAnsiTheme="majorBidi" w:cstheme="majorBidi"/>
          <w:sz w:val="28"/>
          <w:szCs w:val="28"/>
          <w:lang w:bidi="ar-IQ"/>
        </w:rPr>
      </w:pPr>
      <w:r>
        <w:rPr>
          <w:rFonts w:asciiTheme="majorBidi" w:hAnsiTheme="majorBidi" w:cstheme="majorBidi"/>
          <w:sz w:val="28"/>
          <w:szCs w:val="28"/>
        </w:rPr>
        <w:pict>
          <v:shapetype id="_x0000_t32" coordsize="21600,21600" o:spt="32" o:oned="t" path="m,l21600,21600e" filled="f">
            <v:path arrowok="t" fillok="f" o:connecttype="none"/>
            <o:lock v:ext="edit" shapetype="t"/>
          </v:shapetype>
          <v:shape id="_x0000_s1026" type="#_x0000_t32" style="position:absolute;margin-left:1pt;margin-top:7.75pt;width:474.7pt;height:0;z-index:251660288" o:connectortype="straight" strokeweight="2.25pt">
            <w10:wrap anchorx="page"/>
          </v:shape>
        </w:pict>
      </w:r>
    </w:p>
    <w:p w:rsidR="002C27E6" w:rsidRPr="0035686C" w:rsidRDefault="0035686C" w:rsidP="0035686C">
      <w:pPr>
        <w:autoSpaceDE w:val="0"/>
        <w:autoSpaceDN w:val="0"/>
        <w:bidi w:val="0"/>
        <w:adjustRightInd w:val="0"/>
        <w:spacing w:after="0" w:line="360" w:lineRule="auto"/>
        <w:rPr>
          <w:rFonts w:asciiTheme="majorBidi" w:hAnsiTheme="majorBidi" w:cstheme="majorBidi"/>
          <w:b/>
          <w:bCs/>
          <w:sz w:val="28"/>
          <w:szCs w:val="28"/>
        </w:rPr>
      </w:pPr>
      <w:r w:rsidRPr="0035686C">
        <w:rPr>
          <w:rFonts w:asciiTheme="majorBidi" w:hAnsiTheme="majorBidi" w:cstheme="majorBidi"/>
          <w:b/>
          <w:bCs/>
          <w:sz w:val="28"/>
          <w:szCs w:val="28"/>
        </w:rPr>
        <w:t>The embryonic life during the first week:</w:t>
      </w:r>
    </w:p>
    <w:p w:rsidR="002C27E6" w:rsidRPr="0035686C" w:rsidRDefault="002C27E6"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At puberty, the female begins to undergo regular monthly cycles. These </w:t>
      </w:r>
      <w:r w:rsidRPr="0035686C">
        <w:rPr>
          <w:rFonts w:asciiTheme="majorBidi" w:hAnsiTheme="majorBidi" w:cstheme="majorBidi"/>
          <w:b/>
          <w:bCs/>
          <w:sz w:val="28"/>
          <w:szCs w:val="28"/>
        </w:rPr>
        <w:t xml:space="preserve">sexual cycles </w:t>
      </w:r>
      <w:r w:rsidRPr="0035686C">
        <w:rPr>
          <w:rFonts w:asciiTheme="majorBidi" w:hAnsiTheme="majorBidi" w:cstheme="majorBidi"/>
          <w:sz w:val="28"/>
          <w:szCs w:val="28"/>
        </w:rPr>
        <w:t xml:space="preserve">are controlled by the hypothalamus. </w:t>
      </w:r>
      <w:r w:rsidRPr="0035686C">
        <w:rPr>
          <w:rFonts w:asciiTheme="majorBidi" w:hAnsiTheme="majorBidi" w:cstheme="majorBidi"/>
          <w:b/>
          <w:bCs/>
          <w:sz w:val="28"/>
          <w:szCs w:val="28"/>
        </w:rPr>
        <w:t xml:space="preserve">Gonadotropin-releasing hormone (GnRH) </w:t>
      </w:r>
      <w:r w:rsidRPr="0035686C">
        <w:rPr>
          <w:rFonts w:asciiTheme="majorBidi" w:hAnsiTheme="majorBidi" w:cstheme="majorBidi"/>
          <w:sz w:val="28"/>
          <w:szCs w:val="28"/>
        </w:rPr>
        <w:t xml:space="preserve">produced by the hypothalamus acts on cells of the anterior pituitary gland, which in turn secrete </w:t>
      </w:r>
      <w:r w:rsidRPr="0035686C">
        <w:rPr>
          <w:rFonts w:asciiTheme="majorBidi" w:hAnsiTheme="majorBidi" w:cstheme="majorBidi"/>
          <w:b/>
          <w:bCs/>
          <w:sz w:val="28"/>
          <w:szCs w:val="28"/>
        </w:rPr>
        <w:t xml:space="preserve">gonadotropins. </w:t>
      </w:r>
      <w:r w:rsidRPr="0035686C">
        <w:rPr>
          <w:rFonts w:asciiTheme="majorBidi" w:hAnsiTheme="majorBidi" w:cstheme="majorBidi"/>
          <w:sz w:val="28"/>
          <w:szCs w:val="28"/>
        </w:rPr>
        <w:t xml:space="preserve">These hormones, </w:t>
      </w:r>
      <w:r w:rsidRPr="0035686C">
        <w:rPr>
          <w:rFonts w:asciiTheme="majorBidi" w:hAnsiTheme="majorBidi" w:cstheme="majorBidi"/>
          <w:b/>
          <w:bCs/>
          <w:sz w:val="28"/>
          <w:szCs w:val="28"/>
        </w:rPr>
        <w:t xml:space="preserve">follicle-stimulating hormone (FSH) </w:t>
      </w:r>
      <w:r w:rsidRPr="0035686C">
        <w:rPr>
          <w:rFonts w:asciiTheme="majorBidi" w:hAnsiTheme="majorBidi" w:cstheme="majorBidi"/>
          <w:sz w:val="28"/>
          <w:szCs w:val="28"/>
        </w:rPr>
        <w:t xml:space="preserve">and </w:t>
      </w:r>
      <w:r w:rsidRPr="0035686C">
        <w:rPr>
          <w:rFonts w:asciiTheme="majorBidi" w:hAnsiTheme="majorBidi" w:cstheme="majorBidi"/>
          <w:b/>
          <w:bCs/>
          <w:sz w:val="28"/>
          <w:szCs w:val="28"/>
        </w:rPr>
        <w:t>luteinizing hormone (LH</w:t>
      </w:r>
      <w:r w:rsidR="000A5C18" w:rsidRPr="0035686C">
        <w:rPr>
          <w:rFonts w:asciiTheme="majorBidi" w:hAnsiTheme="majorBidi" w:cstheme="majorBidi"/>
          <w:b/>
          <w:bCs/>
          <w:sz w:val="28"/>
          <w:szCs w:val="28"/>
        </w:rPr>
        <w:t>)</w:t>
      </w:r>
      <w:r w:rsidRPr="0035686C">
        <w:rPr>
          <w:rFonts w:asciiTheme="majorBidi" w:hAnsiTheme="majorBidi" w:cstheme="majorBidi"/>
          <w:b/>
          <w:bCs/>
          <w:sz w:val="28"/>
          <w:szCs w:val="28"/>
        </w:rPr>
        <w:t xml:space="preserve"> </w:t>
      </w:r>
      <w:r w:rsidRPr="0035686C">
        <w:rPr>
          <w:rFonts w:asciiTheme="majorBidi" w:hAnsiTheme="majorBidi" w:cstheme="majorBidi"/>
          <w:sz w:val="28"/>
          <w:szCs w:val="28"/>
        </w:rPr>
        <w:t>stimulate and control cyclic changes in the ovary.</w:t>
      </w:r>
    </w:p>
    <w:p w:rsidR="008F4740" w:rsidRPr="0035686C" w:rsidRDefault="00E13BCF"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At the beginning of each ovarian cycle, 15 to 20 primary (preantral) stage follicles are stimulated to grow under the influence of FSH. Under normal conditions, only one of these follicles reaches full maturity, and only one oocyte is discharged; the others degenerate and become atretic. In the next cycle, another group of primary follicles is recruited, and again, only one follicle reaches maturity. Consequently, most follicles degenerate without ever reaching full maturity. </w:t>
      </w:r>
    </w:p>
    <w:p w:rsidR="008F4740" w:rsidRPr="0035686C" w:rsidRDefault="008F4740"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w:t>
      </w:r>
    </w:p>
    <w:p w:rsidR="00664EFB" w:rsidRPr="0035686C" w:rsidRDefault="00664EFB" w:rsidP="0035686C">
      <w:pPr>
        <w:pStyle w:val="ListParagraph"/>
        <w:numPr>
          <w:ilvl w:val="0"/>
          <w:numId w:val="2"/>
        </w:numPr>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sz w:val="28"/>
          <w:szCs w:val="28"/>
        </w:rPr>
        <w:t>OVULATION</w:t>
      </w:r>
    </w:p>
    <w:p w:rsidR="008E4D04" w:rsidRPr="0035686C" w:rsidRDefault="00664EFB"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 xml:space="preserve">In the days immediately preceding ovulation, under the influence of FSH and LH, the secondary follicle grows rapidly to a diameter of 25 mm. Coincident with final development of the secondary follicle, there is an abrupt increase in LH that causes the primary oocyte to complete meiosis I and the follicle to enter the preovulatory stage. </w:t>
      </w:r>
    </w:p>
    <w:p w:rsidR="008E4D04" w:rsidRPr="0035686C" w:rsidRDefault="00664EFB" w:rsidP="0035686C">
      <w:pPr>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sz w:val="28"/>
          <w:szCs w:val="28"/>
        </w:rPr>
        <w:t xml:space="preserve">Meiosis II is also initiated, but the oocyte is arrested in metaphase approximately 3 hours before ovulation. In the meantime, the surface of the ovary begins to bulge locally, and at the apex, an avascular spot, the </w:t>
      </w:r>
      <w:r w:rsidRPr="0035686C">
        <w:rPr>
          <w:rFonts w:asciiTheme="majorBidi" w:hAnsiTheme="majorBidi" w:cstheme="majorBidi"/>
          <w:b/>
          <w:bCs/>
          <w:sz w:val="28"/>
          <w:szCs w:val="28"/>
        </w:rPr>
        <w:t xml:space="preserve">stigma, </w:t>
      </w:r>
      <w:r w:rsidRPr="0035686C">
        <w:rPr>
          <w:rFonts w:asciiTheme="majorBidi" w:hAnsiTheme="majorBidi" w:cstheme="majorBidi"/>
          <w:sz w:val="28"/>
          <w:szCs w:val="28"/>
        </w:rPr>
        <w:t xml:space="preserve">appears. The high concentration of LH increases collagenase activity, resulting in digestion of collagen fibers surrounding the </w:t>
      </w:r>
      <w:r w:rsidRPr="0035686C">
        <w:rPr>
          <w:rFonts w:asciiTheme="majorBidi" w:hAnsiTheme="majorBidi" w:cstheme="majorBidi"/>
          <w:sz w:val="28"/>
          <w:szCs w:val="28"/>
        </w:rPr>
        <w:lastRenderedPageBreak/>
        <w:t>follicle. Prostaglandin levels also increase in response to the LH surge and cause local muscular contractions in the ovarian wall. Those contractions extrude the oocyte, which together with its surrounding granulosa cells from the region of the cumulus</w:t>
      </w:r>
      <w:r w:rsidR="008E4D04" w:rsidRPr="0035686C">
        <w:rPr>
          <w:rFonts w:asciiTheme="majorBidi" w:hAnsiTheme="majorBidi" w:cstheme="majorBidi"/>
          <w:sz w:val="28"/>
          <w:szCs w:val="28"/>
        </w:rPr>
        <w:t xml:space="preserve"> oophorus, breaks free (</w:t>
      </w:r>
      <w:r w:rsidR="008E4D04" w:rsidRPr="0035686C">
        <w:rPr>
          <w:rFonts w:asciiTheme="majorBidi" w:hAnsiTheme="majorBidi" w:cstheme="majorBidi"/>
          <w:b/>
          <w:bCs/>
          <w:sz w:val="28"/>
          <w:szCs w:val="28"/>
        </w:rPr>
        <w:t>ovulation</w:t>
      </w:r>
      <w:r w:rsidR="008E4D04" w:rsidRPr="0035686C">
        <w:rPr>
          <w:rFonts w:asciiTheme="majorBidi" w:hAnsiTheme="majorBidi" w:cstheme="majorBidi"/>
          <w:sz w:val="28"/>
          <w:szCs w:val="28"/>
        </w:rPr>
        <w:t xml:space="preserve">) and floats out of the ovary (Figs. 2.2 and 2.3). Some of the cumulus oophorus cells then rearrange themselves around the zona pellucida to form the </w:t>
      </w:r>
      <w:r w:rsidR="008E4D04" w:rsidRPr="0035686C">
        <w:rPr>
          <w:rFonts w:asciiTheme="majorBidi" w:hAnsiTheme="majorBidi" w:cstheme="majorBidi"/>
          <w:b/>
          <w:bCs/>
          <w:sz w:val="28"/>
          <w:szCs w:val="28"/>
        </w:rPr>
        <w:t xml:space="preserve">corona radiata </w:t>
      </w:r>
      <w:r w:rsidR="008E4D04" w:rsidRPr="0035686C">
        <w:rPr>
          <w:rFonts w:asciiTheme="majorBidi" w:hAnsiTheme="majorBidi" w:cstheme="majorBidi"/>
          <w:sz w:val="28"/>
          <w:szCs w:val="28"/>
        </w:rPr>
        <w:t>(Figs. 2.4–2.6).</w:t>
      </w:r>
    </w:p>
    <w:p w:rsidR="008E4D04" w:rsidRPr="0035686C" w:rsidRDefault="008A1E21" w:rsidP="0035686C">
      <w:pPr>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noProof/>
          <w:sz w:val="28"/>
          <w:szCs w:val="28"/>
        </w:rPr>
        <w:drawing>
          <wp:anchor distT="0" distB="0" distL="114300" distR="114300" simplePos="0" relativeHeight="251675648" behindDoc="0" locked="0" layoutInCell="1" allowOverlap="1">
            <wp:simplePos x="0" y="0"/>
            <wp:positionH relativeFrom="column">
              <wp:posOffset>21974</wp:posOffset>
            </wp:positionH>
            <wp:positionV relativeFrom="paragraph">
              <wp:posOffset>112469</wp:posOffset>
            </wp:positionV>
            <wp:extent cx="6328587" cy="2785731"/>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6328587" cy="2785731"/>
                    </a:xfrm>
                    <a:prstGeom prst="rect">
                      <a:avLst/>
                    </a:prstGeom>
                    <a:noFill/>
                    <a:ln w="9525">
                      <a:noFill/>
                      <a:miter lim="800000"/>
                      <a:headEnd/>
                      <a:tailEnd/>
                    </a:ln>
                  </pic:spPr>
                </pic:pic>
              </a:graphicData>
            </a:graphic>
          </wp:anchor>
        </w:drawing>
      </w:r>
    </w:p>
    <w:p w:rsidR="008E4D04" w:rsidRPr="0035686C" w:rsidRDefault="008E4D04" w:rsidP="0035686C">
      <w:pPr>
        <w:autoSpaceDE w:val="0"/>
        <w:autoSpaceDN w:val="0"/>
        <w:bidi w:val="0"/>
        <w:adjustRightInd w:val="0"/>
        <w:spacing w:after="0" w:line="360" w:lineRule="auto"/>
        <w:ind w:firstLine="720"/>
        <w:jc w:val="both"/>
        <w:rPr>
          <w:rFonts w:asciiTheme="majorBidi" w:hAnsiTheme="majorBidi" w:cstheme="majorBidi"/>
          <w:sz w:val="28"/>
          <w:szCs w:val="28"/>
        </w:rPr>
      </w:pPr>
    </w:p>
    <w:p w:rsidR="008E4D04" w:rsidRPr="0035686C" w:rsidRDefault="008E4D04" w:rsidP="0035686C">
      <w:pPr>
        <w:bidi w:val="0"/>
        <w:spacing w:line="360" w:lineRule="auto"/>
        <w:rPr>
          <w:rFonts w:asciiTheme="majorBidi" w:hAnsiTheme="majorBidi" w:cstheme="majorBidi"/>
          <w:sz w:val="28"/>
          <w:szCs w:val="28"/>
          <w:lang w:bidi="ar-IQ"/>
        </w:rPr>
      </w:pPr>
    </w:p>
    <w:p w:rsidR="008E4D04" w:rsidRPr="0035686C" w:rsidRDefault="008E4D04" w:rsidP="0035686C">
      <w:pPr>
        <w:bidi w:val="0"/>
        <w:spacing w:line="360" w:lineRule="auto"/>
        <w:rPr>
          <w:rFonts w:asciiTheme="majorBidi" w:hAnsiTheme="majorBidi" w:cstheme="majorBidi"/>
          <w:sz w:val="28"/>
          <w:szCs w:val="28"/>
          <w:lang w:bidi="ar-IQ"/>
        </w:rPr>
      </w:pPr>
    </w:p>
    <w:p w:rsidR="008E4D04" w:rsidRPr="0035686C" w:rsidRDefault="008E4D04" w:rsidP="0035686C">
      <w:pPr>
        <w:bidi w:val="0"/>
        <w:spacing w:line="360" w:lineRule="auto"/>
        <w:rPr>
          <w:rFonts w:asciiTheme="majorBidi" w:hAnsiTheme="majorBidi" w:cstheme="majorBidi"/>
          <w:sz w:val="28"/>
          <w:szCs w:val="28"/>
          <w:lang w:bidi="ar-IQ"/>
        </w:rPr>
      </w:pPr>
    </w:p>
    <w:p w:rsidR="008E4D04" w:rsidRPr="0035686C" w:rsidRDefault="008E4D04" w:rsidP="0035686C">
      <w:pPr>
        <w:bidi w:val="0"/>
        <w:spacing w:line="360" w:lineRule="auto"/>
        <w:rPr>
          <w:rFonts w:asciiTheme="majorBidi" w:hAnsiTheme="majorBidi" w:cstheme="majorBidi"/>
          <w:sz w:val="28"/>
          <w:szCs w:val="28"/>
          <w:lang w:bidi="ar-IQ"/>
        </w:rPr>
      </w:pPr>
    </w:p>
    <w:p w:rsidR="008E4D04" w:rsidRPr="0035686C" w:rsidRDefault="008E4D04" w:rsidP="0035686C">
      <w:pPr>
        <w:bidi w:val="0"/>
        <w:spacing w:line="360" w:lineRule="auto"/>
        <w:rPr>
          <w:rFonts w:asciiTheme="majorBidi" w:hAnsiTheme="majorBidi" w:cstheme="majorBidi"/>
          <w:sz w:val="28"/>
          <w:szCs w:val="28"/>
          <w:lang w:bidi="ar-IQ"/>
        </w:rPr>
      </w:pPr>
    </w:p>
    <w:p w:rsidR="008E4D04" w:rsidRPr="0035686C" w:rsidRDefault="008E4D04" w:rsidP="0035686C">
      <w:pPr>
        <w:bidi w:val="0"/>
        <w:spacing w:line="360" w:lineRule="auto"/>
        <w:rPr>
          <w:rFonts w:asciiTheme="majorBidi" w:hAnsiTheme="majorBidi" w:cstheme="majorBidi"/>
          <w:sz w:val="28"/>
          <w:szCs w:val="28"/>
          <w:lang w:bidi="ar-IQ"/>
        </w:rPr>
      </w:pPr>
    </w:p>
    <w:p w:rsidR="009362F4" w:rsidRPr="0035686C" w:rsidRDefault="009362F4" w:rsidP="0035686C">
      <w:pPr>
        <w:autoSpaceDE w:val="0"/>
        <w:autoSpaceDN w:val="0"/>
        <w:bidi w:val="0"/>
        <w:adjustRightInd w:val="0"/>
        <w:spacing w:after="0" w:line="360" w:lineRule="auto"/>
        <w:jc w:val="both"/>
        <w:rPr>
          <w:rFonts w:asciiTheme="majorBidi" w:hAnsiTheme="majorBidi" w:cstheme="majorBidi"/>
          <w:b/>
          <w:bCs/>
          <w:sz w:val="28"/>
          <w:szCs w:val="28"/>
        </w:rPr>
      </w:pPr>
      <w:r w:rsidRPr="0035686C">
        <w:rPr>
          <w:rFonts w:asciiTheme="majorBidi" w:hAnsiTheme="majorBidi" w:cstheme="majorBidi"/>
          <w:b/>
          <w:bCs/>
          <w:sz w:val="28"/>
          <w:szCs w:val="28"/>
        </w:rPr>
        <w:t>CORPUS LUTEUM</w:t>
      </w:r>
    </w:p>
    <w:p w:rsidR="0035686C" w:rsidRDefault="009362F4"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 xml:space="preserve">After ovulation, granulosa cells remaining in the wall of the ruptured follicle, together with cells from the theca interna, are vascularized by surrounding vessels. Under the influence of LH, these cells develop a yellowish pigment and change into </w:t>
      </w:r>
      <w:r w:rsidRPr="0035686C">
        <w:rPr>
          <w:rFonts w:asciiTheme="majorBidi" w:hAnsiTheme="majorBidi" w:cstheme="majorBidi"/>
          <w:b/>
          <w:bCs/>
          <w:sz w:val="28"/>
          <w:szCs w:val="28"/>
        </w:rPr>
        <w:t xml:space="preserve">lutean cells, </w:t>
      </w:r>
      <w:r w:rsidRPr="0035686C">
        <w:rPr>
          <w:rFonts w:asciiTheme="majorBidi" w:hAnsiTheme="majorBidi" w:cstheme="majorBidi"/>
          <w:sz w:val="28"/>
          <w:szCs w:val="28"/>
        </w:rPr>
        <w:t xml:space="preserve">which form the </w:t>
      </w:r>
      <w:r w:rsidRPr="0035686C">
        <w:rPr>
          <w:rFonts w:asciiTheme="majorBidi" w:hAnsiTheme="majorBidi" w:cstheme="majorBidi"/>
          <w:b/>
          <w:bCs/>
          <w:sz w:val="28"/>
          <w:szCs w:val="28"/>
        </w:rPr>
        <w:t xml:space="preserve">corpus luteum </w:t>
      </w:r>
      <w:r w:rsidRPr="0035686C">
        <w:rPr>
          <w:rFonts w:asciiTheme="majorBidi" w:hAnsiTheme="majorBidi" w:cstheme="majorBidi"/>
          <w:sz w:val="28"/>
          <w:szCs w:val="28"/>
        </w:rPr>
        <w:t xml:space="preserve">and secrete the hormone </w:t>
      </w:r>
      <w:r w:rsidRPr="0035686C">
        <w:rPr>
          <w:rFonts w:asciiTheme="majorBidi" w:hAnsiTheme="majorBidi" w:cstheme="majorBidi"/>
          <w:b/>
          <w:bCs/>
          <w:sz w:val="28"/>
          <w:szCs w:val="28"/>
        </w:rPr>
        <w:t xml:space="preserve">progesterone </w:t>
      </w:r>
      <w:r w:rsidRPr="0035686C">
        <w:rPr>
          <w:rFonts w:asciiTheme="majorBidi" w:hAnsiTheme="majorBidi" w:cstheme="majorBidi"/>
          <w:sz w:val="28"/>
          <w:szCs w:val="28"/>
        </w:rPr>
        <w:t>(Fig. 2.2</w:t>
      </w:r>
      <w:r w:rsidRPr="0035686C">
        <w:rPr>
          <w:rFonts w:asciiTheme="majorBidi" w:hAnsiTheme="majorBidi" w:cstheme="majorBidi"/>
          <w:i/>
          <w:iCs/>
          <w:sz w:val="28"/>
          <w:szCs w:val="28"/>
        </w:rPr>
        <w:t>C</w:t>
      </w:r>
      <w:r w:rsidRPr="0035686C">
        <w:rPr>
          <w:rFonts w:asciiTheme="majorBidi" w:hAnsiTheme="majorBidi" w:cstheme="majorBidi"/>
          <w:sz w:val="28"/>
          <w:szCs w:val="28"/>
        </w:rPr>
        <w:t xml:space="preserve">). Progesterone, together with estrogenic hormones, causes the uterine mucosa to enter the </w:t>
      </w:r>
      <w:r w:rsidRPr="0035686C">
        <w:rPr>
          <w:rFonts w:asciiTheme="majorBidi" w:hAnsiTheme="majorBidi" w:cstheme="majorBidi"/>
          <w:b/>
          <w:bCs/>
          <w:sz w:val="28"/>
          <w:szCs w:val="28"/>
        </w:rPr>
        <w:t xml:space="preserve">progestational </w:t>
      </w:r>
      <w:r w:rsidRPr="0035686C">
        <w:rPr>
          <w:rFonts w:asciiTheme="majorBidi" w:hAnsiTheme="majorBidi" w:cstheme="majorBidi"/>
          <w:sz w:val="28"/>
          <w:szCs w:val="28"/>
        </w:rPr>
        <w:t xml:space="preserve">or </w:t>
      </w:r>
      <w:r w:rsidRPr="0035686C">
        <w:rPr>
          <w:rFonts w:asciiTheme="majorBidi" w:hAnsiTheme="majorBidi" w:cstheme="majorBidi"/>
          <w:b/>
          <w:bCs/>
          <w:sz w:val="28"/>
          <w:szCs w:val="28"/>
        </w:rPr>
        <w:t>secretory</w:t>
      </w:r>
      <w:r w:rsidRPr="0035686C">
        <w:rPr>
          <w:rFonts w:asciiTheme="majorBidi" w:hAnsiTheme="majorBidi" w:cstheme="majorBidi"/>
          <w:sz w:val="28"/>
          <w:szCs w:val="28"/>
        </w:rPr>
        <w:t xml:space="preserve"> </w:t>
      </w:r>
      <w:r w:rsidRPr="0035686C">
        <w:rPr>
          <w:rFonts w:asciiTheme="majorBidi" w:hAnsiTheme="majorBidi" w:cstheme="majorBidi"/>
          <w:b/>
          <w:bCs/>
          <w:sz w:val="28"/>
          <w:szCs w:val="28"/>
        </w:rPr>
        <w:t xml:space="preserve">stage </w:t>
      </w:r>
      <w:r w:rsidRPr="0035686C">
        <w:rPr>
          <w:rFonts w:asciiTheme="majorBidi" w:hAnsiTheme="majorBidi" w:cstheme="majorBidi"/>
          <w:sz w:val="28"/>
          <w:szCs w:val="28"/>
        </w:rPr>
        <w:t>in preparation for implantation of the embryo.</w:t>
      </w:r>
    </w:p>
    <w:p w:rsidR="00B2110A" w:rsidRPr="0035686C" w:rsidRDefault="0035686C" w:rsidP="0035686C">
      <w:pPr>
        <w:autoSpaceDE w:val="0"/>
        <w:autoSpaceDN w:val="0"/>
        <w:bidi w:val="0"/>
        <w:adjustRightInd w:val="0"/>
        <w:spacing w:after="0" w:line="360" w:lineRule="auto"/>
        <w:jc w:val="both"/>
        <w:rPr>
          <w:rFonts w:asciiTheme="majorBidi" w:hAnsiTheme="majorBidi" w:cstheme="majorBidi"/>
          <w:b/>
          <w:bCs/>
          <w:sz w:val="28"/>
          <w:szCs w:val="28"/>
        </w:rPr>
      </w:pPr>
      <w:r w:rsidRPr="0035686C">
        <w:rPr>
          <w:rFonts w:asciiTheme="majorBidi" w:hAnsiTheme="majorBidi" w:cstheme="majorBidi"/>
          <w:b/>
          <w:bCs/>
          <w:sz w:val="28"/>
          <w:szCs w:val="28"/>
        </w:rPr>
        <w:t>-</w:t>
      </w:r>
      <w:r w:rsidR="00B2110A" w:rsidRPr="0035686C">
        <w:rPr>
          <w:rFonts w:asciiTheme="majorBidi" w:hAnsiTheme="majorBidi" w:cstheme="majorBidi"/>
          <w:b/>
          <w:bCs/>
          <w:sz w:val="28"/>
          <w:szCs w:val="28"/>
        </w:rPr>
        <w:t>OOCYTE TRANSPORT</w:t>
      </w:r>
    </w:p>
    <w:p w:rsidR="00B2110A" w:rsidRPr="0035686C" w:rsidRDefault="00B2110A"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 xml:space="preserve">Shortly before ovulation, fimbriae of the oviduct begin to sweep over the surface of the ovary, and the tube itself begins to contract rhythmically. It is thought that the </w:t>
      </w:r>
      <w:r w:rsidRPr="0035686C">
        <w:rPr>
          <w:rFonts w:asciiTheme="majorBidi" w:hAnsiTheme="majorBidi" w:cstheme="majorBidi"/>
          <w:sz w:val="28"/>
          <w:szCs w:val="28"/>
        </w:rPr>
        <w:lastRenderedPageBreak/>
        <w:t xml:space="preserve">oocyte surrounded by some granulosa cells (Figs. 2.3 and 2.4) is carried into the tube by these sweeping movements of the fimbriae and by motion of cilia on the epithelial lining. Once in the tube, cumulus cells withdraw their cytoplasmic processes from the zona pellucida and lose contact with the oocyte. </w:t>
      </w:r>
    </w:p>
    <w:p w:rsidR="00B2110A" w:rsidRPr="0035686C" w:rsidRDefault="00B2110A"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Once the oocyte is in the uterine tube, it is propelled by cilia with the rate of transport regulated by the endocrine status during and after ovulation. In humans, the fertilized oocyte reaches the uterine lumen in approximately 3 to 4 days.</w:t>
      </w:r>
    </w:p>
    <w:p w:rsidR="00A54AC9" w:rsidRPr="0035686C" w:rsidRDefault="00A54AC9" w:rsidP="0035686C">
      <w:pPr>
        <w:autoSpaceDE w:val="0"/>
        <w:autoSpaceDN w:val="0"/>
        <w:bidi w:val="0"/>
        <w:adjustRightInd w:val="0"/>
        <w:spacing w:after="0" w:line="360" w:lineRule="auto"/>
        <w:jc w:val="both"/>
        <w:rPr>
          <w:rFonts w:asciiTheme="majorBidi" w:hAnsiTheme="majorBidi" w:cstheme="majorBidi"/>
          <w:b/>
          <w:bCs/>
          <w:sz w:val="28"/>
          <w:szCs w:val="28"/>
          <w:u w:val="single"/>
        </w:rPr>
      </w:pPr>
      <w:r w:rsidRPr="0035686C">
        <w:rPr>
          <w:rFonts w:asciiTheme="majorBidi" w:hAnsiTheme="majorBidi" w:cstheme="majorBidi"/>
          <w:b/>
          <w:bCs/>
          <w:sz w:val="28"/>
          <w:szCs w:val="28"/>
          <w:u w:val="single"/>
        </w:rPr>
        <w:t>Fertilization</w:t>
      </w:r>
    </w:p>
    <w:p w:rsidR="00A54AC9" w:rsidRPr="0035686C" w:rsidRDefault="00A54AC9"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Fertilization, the process by which male and female gametes fuse, occurs in the </w:t>
      </w:r>
      <w:r w:rsidRPr="0035686C">
        <w:rPr>
          <w:rFonts w:asciiTheme="majorBidi" w:hAnsiTheme="majorBidi" w:cstheme="majorBidi"/>
          <w:b/>
          <w:bCs/>
          <w:sz w:val="28"/>
          <w:szCs w:val="28"/>
        </w:rPr>
        <w:t xml:space="preserve">ampullary region of the uterine tube. </w:t>
      </w:r>
      <w:r w:rsidRPr="0035686C">
        <w:rPr>
          <w:rFonts w:asciiTheme="majorBidi" w:hAnsiTheme="majorBidi" w:cstheme="majorBidi"/>
          <w:sz w:val="28"/>
          <w:szCs w:val="28"/>
        </w:rPr>
        <w:t xml:space="preserve">This is the widest part of the tube and is close to the ovary (Fig. 2.4). </w:t>
      </w:r>
    </w:p>
    <w:p w:rsidR="00A54AC9" w:rsidRPr="0035686C" w:rsidRDefault="00A54AC9" w:rsidP="0035686C">
      <w:pPr>
        <w:autoSpaceDE w:val="0"/>
        <w:autoSpaceDN w:val="0"/>
        <w:bidi w:val="0"/>
        <w:adjustRightInd w:val="0"/>
        <w:spacing w:after="0" w:line="360" w:lineRule="auto"/>
        <w:ind w:firstLine="720"/>
        <w:jc w:val="both"/>
        <w:rPr>
          <w:rFonts w:asciiTheme="majorBidi" w:hAnsiTheme="majorBidi" w:cstheme="majorBidi"/>
          <w:b/>
          <w:bCs/>
          <w:sz w:val="28"/>
          <w:szCs w:val="28"/>
        </w:rPr>
      </w:pPr>
      <w:r w:rsidRPr="0035686C">
        <w:rPr>
          <w:rFonts w:asciiTheme="majorBidi" w:hAnsiTheme="majorBidi" w:cstheme="majorBidi"/>
          <w:sz w:val="28"/>
          <w:szCs w:val="28"/>
        </w:rPr>
        <w:t>Only 1% of sperm deposited in the vagina enter the cervix, where they may survive for many hours. Movement of sperm from the cervix to the oviduct is accomplished primarily by their own propulsion, although they may be assisted by movements of fluids created by uterine cilia. The trip from cervix to oviduct requires a minimum of 2 to 7 hours, and after reaching the isthmus, sperm become less motile and cease their migration. At ovulation, sperm again become motile, perhaps because of chemoattractants produced by cumulus cells surrounding the egg, and swim to the ampulla where fertilization usually occurs. Spermatozoa are not able to fertilize the oocyte immediately upon arrival in the female genital tract but must undergo (</w:t>
      </w:r>
      <w:r w:rsidRPr="0035686C">
        <w:rPr>
          <w:rFonts w:asciiTheme="majorBidi" w:hAnsiTheme="majorBidi" w:cstheme="majorBidi"/>
          <w:i/>
          <w:iCs/>
          <w:sz w:val="28"/>
          <w:szCs w:val="28"/>
        </w:rPr>
        <w:t>a</w:t>
      </w:r>
      <w:r w:rsidRPr="0035686C">
        <w:rPr>
          <w:rFonts w:asciiTheme="majorBidi" w:hAnsiTheme="majorBidi" w:cstheme="majorBidi"/>
          <w:sz w:val="28"/>
          <w:szCs w:val="28"/>
        </w:rPr>
        <w:t xml:space="preserve">) </w:t>
      </w:r>
      <w:r w:rsidRPr="0035686C">
        <w:rPr>
          <w:rFonts w:asciiTheme="majorBidi" w:hAnsiTheme="majorBidi" w:cstheme="majorBidi"/>
          <w:b/>
          <w:bCs/>
          <w:sz w:val="28"/>
          <w:szCs w:val="28"/>
        </w:rPr>
        <w:t xml:space="preserve">capacitation </w:t>
      </w:r>
      <w:r w:rsidRPr="0035686C">
        <w:rPr>
          <w:rFonts w:asciiTheme="majorBidi" w:hAnsiTheme="majorBidi" w:cstheme="majorBidi"/>
          <w:sz w:val="28"/>
          <w:szCs w:val="28"/>
        </w:rPr>
        <w:t>and (</w:t>
      </w:r>
      <w:r w:rsidRPr="0035686C">
        <w:rPr>
          <w:rFonts w:asciiTheme="majorBidi" w:hAnsiTheme="majorBidi" w:cstheme="majorBidi"/>
          <w:i/>
          <w:iCs/>
          <w:sz w:val="28"/>
          <w:szCs w:val="28"/>
        </w:rPr>
        <w:t>b</w:t>
      </w:r>
      <w:r w:rsidRPr="0035686C">
        <w:rPr>
          <w:rFonts w:asciiTheme="majorBidi" w:hAnsiTheme="majorBidi" w:cstheme="majorBidi"/>
          <w:sz w:val="28"/>
          <w:szCs w:val="28"/>
        </w:rPr>
        <w:t xml:space="preserve">) the </w:t>
      </w:r>
      <w:r w:rsidRPr="0035686C">
        <w:rPr>
          <w:rFonts w:asciiTheme="majorBidi" w:hAnsiTheme="majorBidi" w:cstheme="majorBidi"/>
          <w:b/>
          <w:bCs/>
          <w:sz w:val="28"/>
          <w:szCs w:val="28"/>
        </w:rPr>
        <w:t xml:space="preserve">acrosome reaction </w:t>
      </w:r>
      <w:r w:rsidRPr="0035686C">
        <w:rPr>
          <w:rFonts w:asciiTheme="majorBidi" w:hAnsiTheme="majorBidi" w:cstheme="majorBidi"/>
          <w:sz w:val="28"/>
          <w:szCs w:val="28"/>
        </w:rPr>
        <w:t xml:space="preserve">to acquire this capability. </w:t>
      </w:r>
    </w:p>
    <w:p w:rsidR="00A54AC9" w:rsidRPr="0035686C" w:rsidRDefault="00A54AC9" w:rsidP="0035686C">
      <w:pPr>
        <w:autoSpaceDE w:val="0"/>
        <w:autoSpaceDN w:val="0"/>
        <w:bidi w:val="0"/>
        <w:adjustRightInd w:val="0"/>
        <w:spacing w:after="0" w:line="360" w:lineRule="auto"/>
        <w:ind w:firstLine="720"/>
        <w:jc w:val="both"/>
        <w:rPr>
          <w:rFonts w:asciiTheme="majorBidi" w:hAnsiTheme="majorBidi" w:cstheme="majorBidi"/>
          <w:b/>
          <w:bCs/>
          <w:sz w:val="28"/>
          <w:szCs w:val="28"/>
        </w:rPr>
      </w:pPr>
    </w:p>
    <w:p w:rsidR="00B66F56" w:rsidRPr="0035686C" w:rsidRDefault="00410527" w:rsidP="0035686C">
      <w:pPr>
        <w:bidi w:val="0"/>
        <w:spacing w:line="360" w:lineRule="auto"/>
        <w:jc w:val="both"/>
        <w:rPr>
          <w:rFonts w:asciiTheme="majorBidi" w:hAnsiTheme="majorBidi" w:cstheme="majorBidi"/>
          <w:sz w:val="28"/>
          <w:szCs w:val="28"/>
          <w:lang w:bidi="ar-IQ"/>
        </w:rPr>
      </w:pPr>
      <w:r w:rsidRPr="0035686C">
        <w:rPr>
          <w:rFonts w:asciiTheme="majorBidi" w:hAnsiTheme="majorBidi" w:cstheme="majorBidi"/>
          <w:noProof/>
          <w:sz w:val="28"/>
          <w:szCs w:val="28"/>
        </w:rPr>
        <w:lastRenderedPageBreak/>
        <w:drawing>
          <wp:inline distT="0" distB="0" distL="0" distR="0">
            <wp:extent cx="6137201" cy="3848986"/>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t="51344"/>
                    <a:stretch>
                      <a:fillRect/>
                    </a:stretch>
                  </pic:blipFill>
                  <pic:spPr bwMode="auto">
                    <a:xfrm>
                      <a:off x="0" y="0"/>
                      <a:ext cx="6137201" cy="3848986"/>
                    </a:xfrm>
                    <a:prstGeom prst="rect">
                      <a:avLst/>
                    </a:prstGeom>
                    <a:noFill/>
                    <a:ln w="9525">
                      <a:noFill/>
                      <a:miter lim="800000"/>
                      <a:headEnd/>
                      <a:tailEnd/>
                    </a:ln>
                  </pic:spPr>
                </pic:pic>
              </a:graphicData>
            </a:graphic>
          </wp:inline>
        </w:drawing>
      </w:r>
    </w:p>
    <w:p w:rsidR="00DF1964" w:rsidRPr="0035686C" w:rsidRDefault="00DF1964" w:rsidP="0035686C">
      <w:pPr>
        <w:bidi w:val="0"/>
        <w:spacing w:line="360" w:lineRule="auto"/>
        <w:rPr>
          <w:rFonts w:asciiTheme="majorBidi" w:hAnsiTheme="majorBidi" w:cstheme="majorBidi"/>
          <w:sz w:val="28"/>
          <w:szCs w:val="28"/>
          <w:lang w:bidi="ar-IQ"/>
        </w:rPr>
      </w:pPr>
    </w:p>
    <w:p w:rsidR="000768BE" w:rsidRPr="0035686C" w:rsidRDefault="000768BE" w:rsidP="0035686C">
      <w:pPr>
        <w:autoSpaceDE w:val="0"/>
        <w:autoSpaceDN w:val="0"/>
        <w:bidi w:val="0"/>
        <w:adjustRightInd w:val="0"/>
        <w:spacing w:after="0" w:line="360" w:lineRule="auto"/>
        <w:jc w:val="both"/>
        <w:rPr>
          <w:rFonts w:asciiTheme="majorBidi" w:hAnsiTheme="majorBidi" w:cstheme="majorBidi"/>
          <w:b/>
          <w:bCs/>
          <w:sz w:val="28"/>
          <w:szCs w:val="28"/>
        </w:rPr>
      </w:pPr>
      <w:r w:rsidRPr="0035686C">
        <w:rPr>
          <w:rFonts w:asciiTheme="majorBidi" w:hAnsiTheme="majorBidi" w:cstheme="majorBidi"/>
          <w:b/>
          <w:bCs/>
          <w:sz w:val="28"/>
          <w:szCs w:val="28"/>
        </w:rPr>
        <w:t>PHASE 1: PENETRATION OF THE CORONA RADIATA</w:t>
      </w:r>
    </w:p>
    <w:p w:rsidR="000768BE" w:rsidRPr="0035686C" w:rsidRDefault="000768BE"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Of the 200 to 300 million spermatozoa deposited in the female genital tract, only 300 to 500 reach the site of fertilization. Only one of these fertilizes the egg. It is thought that the others aid the fertilizing sperm in penetrating the barriers protecting the female gamete. Capacitated sperm pass freely through corona cells (Fig. 2.5).</w:t>
      </w:r>
    </w:p>
    <w:p w:rsidR="000768BE" w:rsidRPr="0035686C" w:rsidRDefault="000768BE" w:rsidP="0035686C">
      <w:pPr>
        <w:autoSpaceDE w:val="0"/>
        <w:autoSpaceDN w:val="0"/>
        <w:bidi w:val="0"/>
        <w:adjustRightInd w:val="0"/>
        <w:spacing w:after="0" w:line="360" w:lineRule="auto"/>
        <w:jc w:val="both"/>
        <w:rPr>
          <w:rFonts w:asciiTheme="majorBidi" w:hAnsiTheme="majorBidi" w:cstheme="majorBidi"/>
          <w:sz w:val="28"/>
          <w:szCs w:val="28"/>
        </w:rPr>
      </w:pPr>
    </w:p>
    <w:p w:rsidR="000768BE" w:rsidRPr="0035686C" w:rsidRDefault="000768BE" w:rsidP="0035686C">
      <w:pPr>
        <w:autoSpaceDE w:val="0"/>
        <w:autoSpaceDN w:val="0"/>
        <w:bidi w:val="0"/>
        <w:adjustRightInd w:val="0"/>
        <w:spacing w:after="0" w:line="360" w:lineRule="auto"/>
        <w:jc w:val="both"/>
        <w:rPr>
          <w:rFonts w:asciiTheme="majorBidi" w:hAnsiTheme="majorBidi" w:cstheme="majorBidi"/>
          <w:b/>
          <w:bCs/>
          <w:sz w:val="28"/>
          <w:szCs w:val="28"/>
        </w:rPr>
      </w:pPr>
      <w:r w:rsidRPr="0035686C">
        <w:rPr>
          <w:rFonts w:asciiTheme="majorBidi" w:hAnsiTheme="majorBidi" w:cstheme="majorBidi"/>
          <w:b/>
          <w:bCs/>
          <w:sz w:val="28"/>
          <w:szCs w:val="28"/>
        </w:rPr>
        <w:t>PHASE 2: PENETRATION OF THE ZONA PELLUCIDA</w:t>
      </w:r>
    </w:p>
    <w:p w:rsidR="000768BE" w:rsidRPr="0035686C" w:rsidRDefault="000768BE"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 xml:space="preserve">The zona is a glycoprotein shell surrounding the egg that facilitates and maintains sperm binding and induces the acrosome reaction. Both binding and the acrosome reaction are mediated by the ligand ZP3, a zona protein. Release of acrosomal enzymes (acrosin) allows sperm to penetrate the zona, thereby coming in contact with the plasma membrane of the oocyte (Fig. 2.5). Permeability of the zona pellucida changes when the head of the sperm comes in contact with the oocyte surface. This contact results in </w:t>
      </w:r>
      <w:r w:rsidRPr="0035686C">
        <w:rPr>
          <w:rFonts w:asciiTheme="majorBidi" w:hAnsiTheme="majorBidi" w:cstheme="majorBidi"/>
          <w:sz w:val="28"/>
          <w:szCs w:val="28"/>
        </w:rPr>
        <w:lastRenderedPageBreak/>
        <w:t xml:space="preserve">release of lysosomal enzymes from cortical granules lining the plasma membrane of the oocyte. In turn, these enzymes alter properties of the zona pellucida </w:t>
      </w:r>
      <w:r w:rsidRPr="0035686C">
        <w:rPr>
          <w:rFonts w:asciiTheme="majorBidi" w:hAnsiTheme="majorBidi" w:cstheme="majorBidi"/>
          <w:b/>
          <w:bCs/>
          <w:sz w:val="28"/>
          <w:szCs w:val="28"/>
        </w:rPr>
        <w:t xml:space="preserve">(zona reaction) </w:t>
      </w:r>
      <w:r w:rsidRPr="0035686C">
        <w:rPr>
          <w:rFonts w:asciiTheme="majorBidi" w:hAnsiTheme="majorBidi" w:cstheme="majorBidi"/>
          <w:sz w:val="28"/>
          <w:szCs w:val="28"/>
        </w:rPr>
        <w:t xml:space="preserve">to prevent sperm penetration and inactivate species-specific receptor sites for spermatozoa on the zona surface. </w:t>
      </w:r>
    </w:p>
    <w:p w:rsidR="00245655" w:rsidRPr="0035686C" w:rsidRDefault="00245655" w:rsidP="0035686C">
      <w:pPr>
        <w:autoSpaceDE w:val="0"/>
        <w:autoSpaceDN w:val="0"/>
        <w:bidi w:val="0"/>
        <w:adjustRightInd w:val="0"/>
        <w:spacing w:after="0" w:line="360" w:lineRule="auto"/>
        <w:rPr>
          <w:rFonts w:asciiTheme="majorBidi" w:hAnsiTheme="majorBidi" w:cstheme="majorBidi"/>
          <w:color w:val="1AB3FF"/>
          <w:sz w:val="28"/>
          <w:szCs w:val="28"/>
        </w:rPr>
      </w:pPr>
    </w:p>
    <w:p w:rsidR="00245655" w:rsidRPr="0035686C" w:rsidRDefault="00245655" w:rsidP="0035686C">
      <w:pPr>
        <w:autoSpaceDE w:val="0"/>
        <w:autoSpaceDN w:val="0"/>
        <w:bidi w:val="0"/>
        <w:adjustRightInd w:val="0"/>
        <w:spacing w:after="0" w:line="360" w:lineRule="auto"/>
        <w:jc w:val="both"/>
        <w:rPr>
          <w:rFonts w:asciiTheme="majorBidi" w:hAnsiTheme="majorBidi" w:cstheme="majorBidi"/>
          <w:b/>
          <w:bCs/>
          <w:sz w:val="28"/>
          <w:szCs w:val="28"/>
        </w:rPr>
      </w:pPr>
      <w:r w:rsidRPr="0035686C">
        <w:rPr>
          <w:rFonts w:asciiTheme="majorBidi" w:hAnsiTheme="majorBidi" w:cstheme="majorBidi"/>
          <w:b/>
          <w:bCs/>
          <w:sz w:val="28"/>
          <w:szCs w:val="28"/>
        </w:rPr>
        <w:t>PHASE 3: FUSION OF THE OOCYTE AND SPERM CELL MEMBRANES</w:t>
      </w:r>
    </w:p>
    <w:p w:rsidR="00245655" w:rsidRPr="0035686C" w:rsidRDefault="00245655"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The initial adhesion of sperm to the oocyte </w:t>
      </w:r>
      <w:r w:rsidR="00DF1964" w:rsidRPr="0035686C">
        <w:rPr>
          <w:rFonts w:asciiTheme="majorBidi" w:hAnsiTheme="majorBidi" w:cstheme="majorBidi"/>
          <w:sz w:val="28"/>
          <w:szCs w:val="28"/>
        </w:rPr>
        <w:t>is mediated by specific receptors</w:t>
      </w:r>
      <w:r w:rsidRPr="0035686C">
        <w:rPr>
          <w:rFonts w:asciiTheme="majorBidi" w:hAnsiTheme="majorBidi" w:cstheme="majorBidi"/>
          <w:sz w:val="28"/>
          <w:szCs w:val="28"/>
        </w:rPr>
        <w:t>. After adhesion, the plasma membranes of the</w:t>
      </w:r>
      <w:r w:rsidR="00D451C4" w:rsidRPr="0035686C">
        <w:rPr>
          <w:rFonts w:asciiTheme="majorBidi" w:hAnsiTheme="majorBidi" w:cstheme="majorBidi"/>
          <w:sz w:val="28"/>
          <w:szCs w:val="28"/>
        </w:rPr>
        <w:t xml:space="preserve"> sperm and egg fuse (Fig. 2.5)</w:t>
      </w:r>
      <w:r w:rsidRPr="0035686C">
        <w:rPr>
          <w:rFonts w:asciiTheme="majorBidi" w:hAnsiTheme="majorBidi" w:cstheme="majorBidi"/>
          <w:sz w:val="28"/>
          <w:szCs w:val="28"/>
        </w:rPr>
        <w:t>. In the human, both the head and tail of the spermatozoon enter the cytoplasm of the oocyte, but the plasma membrane is left behind on the oocyte surface. As soon as the spermatozoon has entered the oocyte, the egg responds in three ways:</w:t>
      </w:r>
    </w:p>
    <w:p w:rsidR="00245655" w:rsidRPr="0035686C" w:rsidRDefault="00245655" w:rsidP="0035686C">
      <w:pPr>
        <w:autoSpaceDE w:val="0"/>
        <w:autoSpaceDN w:val="0"/>
        <w:bidi w:val="0"/>
        <w:adjustRightInd w:val="0"/>
        <w:spacing w:after="0" w:line="360" w:lineRule="auto"/>
        <w:jc w:val="both"/>
        <w:rPr>
          <w:rFonts w:asciiTheme="majorBidi" w:hAnsiTheme="majorBidi" w:cstheme="majorBidi"/>
          <w:sz w:val="28"/>
          <w:szCs w:val="28"/>
        </w:rPr>
      </w:pPr>
    </w:p>
    <w:p w:rsidR="00245655" w:rsidRPr="0035686C" w:rsidRDefault="00245655" w:rsidP="0035686C">
      <w:pPr>
        <w:pStyle w:val="ListParagraph"/>
        <w:numPr>
          <w:ilvl w:val="0"/>
          <w:numId w:val="3"/>
        </w:numPr>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b/>
          <w:bCs/>
          <w:sz w:val="28"/>
          <w:szCs w:val="28"/>
        </w:rPr>
        <w:t xml:space="preserve">Cortical and zona reactions. </w:t>
      </w:r>
      <w:r w:rsidRPr="0035686C">
        <w:rPr>
          <w:rFonts w:asciiTheme="majorBidi" w:hAnsiTheme="majorBidi" w:cstheme="majorBidi"/>
          <w:sz w:val="28"/>
          <w:szCs w:val="28"/>
        </w:rPr>
        <w:t>As a result of the release of cortical oocyte granules, which contain lysosomal enzymes, (</w:t>
      </w:r>
      <w:r w:rsidRPr="0035686C">
        <w:rPr>
          <w:rFonts w:asciiTheme="majorBidi" w:hAnsiTheme="majorBidi" w:cstheme="majorBidi"/>
          <w:i/>
          <w:iCs/>
          <w:sz w:val="28"/>
          <w:szCs w:val="28"/>
        </w:rPr>
        <w:t>a</w:t>
      </w:r>
      <w:r w:rsidRPr="0035686C">
        <w:rPr>
          <w:rFonts w:asciiTheme="majorBidi" w:hAnsiTheme="majorBidi" w:cstheme="majorBidi"/>
          <w:sz w:val="28"/>
          <w:szCs w:val="28"/>
        </w:rPr>
        <w:t>) the oocyte membrane becomes impenetrable to other spermatozoa, and (</w:t>
      </w:r>
      <w:r w:rsidRPr="0035686C">
        <w:rPr>
          <w:rFonts w:asciiTheme="majorBidi" w:hAnsiTheme="majorBidi" w:cstheme="majorBidi"/>
          <w:i/>
          <w:iCs/>
          <w:sz w:val="28"/>
          <w:szCs w:val="28"/>
        </w:rPr>
        <w:t>b</w:t>
      </w:r>
      <w:r w:rsidRPr="0035686C">
        <w:rPr>
          <w:rFonts w:asciiTheme="majorBidi" w:hAnsiTheme="majorBidi" w:cstheme="majorBidi"/>
          <w:sz w:val="28"/>
          <w:szCs w:val="28"/>
        </w:rPr>
        <w:t>) the zona pellucid alters its structure and composition to prevent sperm binding and penetration. These reactions prevent polyspermy (penetration of more than one spermatozoon into the oocyte).</w:t>
      </w:r>
    </w:p>
    <w:p w:rsidR="00245655" w:rsidRPr="0035686C" w:rsidRDefault="00245655" w:rsidP="0035686C">
      <w:pPr>
        <w:pStyle w:val="ListParagraph"/>
        <w:autoSpaceDE w:val="0"/>
        <w:autoSpaceDN w:val="0"/>
        <w:bidi w:val="0"/>
        <w:adjustRightInd w:val="0"/>
        <w:spacing w:after="0" w:line="360" w:lineRule="auto"/>
        <w:jc w:val="both"/>
        <w:rPr>
          <w:rFonts w:asciiTheme="majorBidi" w:hAnsiTheme="majorBidi" w:cstheme="majorBidi"/>
          <w:sz w:val="28"/>
          <w:szCs w:val="28"/>
        </w:rPr>
      </w:pPr>
    </w:p>
    <w:p w:rsidR="00245655" w:rsidRPr="0035686C" w:rsidRDefault="00245655" w:rsidP="0035686C">
      <w:pPr>
        <w:pStyle w:val="ListParagraph"/>
        <w:numPr>
          <w:ilvl w:val="0"/>
          <w:numId w:val="3"/>
        </w:numPr>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b/>
          <w:bCs/>
          <w:sz w:val="28"/>
          <w:szCs w:val="28"/>
        </w:rPr>
        <w:t xml:space="preserve">Resumption of the second meiotic division. </w:t>
      </w:r>
      <w:r w:rsidRPr="0035686C">
        <w:rPr>
          <w:rFonts w:asciiTheme="majorBidi" w:hAnsiTheme="majorBidi" w:cstheme="majorBidi"/>
          <w:sz w:val="28"/>
          <w:szCs w:val="28"/>
        </w:rPr>
        <w:t xml:space="preserve">The oocyte finishes its second meiotic division immediately after entry of the spermatozoon. One of the daughter cells, which </w:t>
      </w:r>
      <w:r w:rsidR="00FB1584" w:rsidRPr="0035686C">
        <w:rPr>
          <w:rFonts w:asciiTheme="majorBidi" w:hAnsiTheme="majorBidi" w:cstheme="majorBidi"/>
          <w:sz w:val="28"/>
          <w:szCs w:val="28"/>
        </w:rPr>
        <w:t>receive</w:t>
      </w:r>
      <w:r w:rsidRPr="0035686C">
        <w:rPr>
          <w:rFonts w:asciiTheme="majorBidi" w:hAnsiTheme="majorBidi" w:cstheme="majorBidi"/>
          <w:sz w:val="28"/>
          <w:szCs w:val="28"/>
        </w:rPr>
        <w:t xml:space="preserve"> hardly any cytoplasm, is known as the </w:t>
      </w:r>
      <w:r w:rsidRPr="0035686C">
        <w:rPr>
          <w:rFonts w:asciiTheme="majorBidi" w:hAnsiTheme="majorBidi" w:cstheme="majorBidi"/>
          <w:b/>
          <w:bCs/>
          <w:sz w:val="28"/>
          <w:szCs w:val="28"/>
        </w:rPr>
        <w:t xml:space="preserve">second polar body; </w:t>
      </w:r>
      <w:r w:rsidRPr="0035686C">
        <w:rPr>
          <w:rFonts w:asciiTheme="majorBidi" w:hAnsiTheme="majorBidi" w:cstheme="majorBidi"/>
          <w:sz w:val="28"/>
          <w:szCs w:val="28"/>
        </w:rPr>
        <w:t xml:space="preserve">the other daughter cell is the </w:t>
      </w:r>
      <w:r w:rsidRPr="0035686C">
        <w:rPr>
          <w:rFonts w:asciiTheme="majorBidi" w:hAnsiTheme="majorBidi" w:cstheme="majorBidi"/>
          <w:b/>
          <w:bCs/>
          <w:sz w:val="28"/>
          <w:szCs w:val="28"/>
        </w:rPr>
        <w:t>definitive oocyte.</w:t>
      </w:r>
      <w:r w:rsidRPr="0035686C">
        <w:rPr>
          <w:rFonts w:asciiTheme="majorBidi" w:hAnsiTheme="majorBidi" w:cstheme="majorBidi"/>
          <w:sz w:val="28"/>
          <w:szCs w:val="28"/>
        </w:rPr>
        <w:t xml:space="preserve"> Its chromosomes (22+X) arrange themselves in a vesicular nucleus known as the </w:t>
      </w:r>
      <w:r w:rsidRPr="0035686C">
        <w:rPr>
          <w:rFonts w:asciiTheme="majorBidi" w:hAnsiTheme="majorBidi" w:cstheme="majorBidi"/>
          <w:b/>
          <w:bCs/>
          <w:sz w:val="28"/>
          <w:szCs w:val="28"/>
        </w:rPr>
        <w:t xml:space="preserve">female pronucleus </w:t>
      </w:r>
      <w:r w:rsidRPr="0035686C">
        <w:rPr>
          <w:rFonts w:asciiTheme="majorBidi" w:hAnsiTheme="majorBidi" w:cstheme="majorBidi"/>
          <w:sz w:val="28"/>
          <w:szCs w:val="28"/>
        </w:rPr>
        <w:t>(Figs. 2.6 and 2.7).</w:t>
      </w:r>
    </w:p>
    <w:p w:rsidR="00D451C4" w:rsidRPr="0035686C" w:rsidRDefault="00245655" w:rsidP="0035686C">
      <w:pPr>
        <w:pStyle w:val="ListParagraph"/>
        <w:numPr>
          <w:ilvl w:val="0"/>
          <w:numId w:val="3"/>
        </w:numPr>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b/>
          <w:bCs/>
          <w:sz w:val="28"/>
          <w:szCs w:val="28"/>
        </w:rPr>
        <w:t xml:space="preserve">Metabolic activation of the egg. </w:t>
      </w:r>
      <w:r w:rsidRPr="0035686C">
        <w:rPr>
          <w:rFonts w:asciiTheme="majorBidi" w:hAnsiTheme="majorBidi" w:cstheme="majorBidi"/>
          <w:sz w:val="28"/>
          <w:szCs w:val="28"/>
        </w:rPr>
        <w:t>The activating factor is probably carried by the spermatozoon.</w:t>
      </w:r>
    </w:p>
    <w:p w:rsidR="00E059A0" w:rsidRPr="0035686C" w:rsidRDefault="00245655" w:rsidP="0035686C">
      <w:pPr>
        <w:pStyle w:val="ListParagraph"/>
        <w:autoSpaceDE w:val="0"/>
        <w:autoSpaceDN w:val="0"/>
        <w:bidi w:val="0"/>
        <w:adjustRightInd w:val="0"/>
        <w:spacing w:after="0" w:line="360" w:lineRule="auto"/>
        <w:jc w:val="both"/>
        <w:rPr>
          <w:rFonts w:asciiTheme="majorBidi" w:hAnsiTheme="majorBidi" w:cstheme="majorBidi"/>
          <w:sz w:val="28"/>
          <w:szCs w:val="28"/>
        </w:rPr>
      </w:pPr>
      <w:r w:rsidRPr="0035686C">
        <w:rPr>
          <w:rFonts w:asciiTheme="majorBidi" w:hAnsiTheme="majorBidi" w:cstheme="majorBidi"/>
          <w:sz w:val="28"/>
          <w:szCs w:val="28"/>
        </w:rPr>
        <w:t xml:space="preserve"> </w:t>
      </w:r>
    </w:p>
    <w:p w:rsidR="00E059A0" w:rsidRPr="0035686C" w:rsidRDefault="00245655"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lastRenderedPageBreak/>
        <w:t xml:space="preserve">The spermatozoon, meanwhile, moves forward until it lies close to the female pronucleus. Its nucleus becomes swollen and forms the </w:t>
      </w:r>
      <w:r w:rsidRPr="0035686C">
        <w:rPr>
          <w:rFonts w:asciiTheme="majorBidi" w:hAnsiTheme="majorBidi" w:cstheme="majorBidi"/>
          <w:b/>
          <w:bCs/>
          <w:sz w:val="28"/>
          <w:szCs w:val="28"/>
        </w:rPr>
        <w:t>male pronucleus</w:t>
      </w:r>
      <w:r w:rsidRPr="0035686C">
        <w:rPr>
          <w:rFonts w:asciiTheme="majorBidi" w:hAnsiTheme="majorBidi" w:cstheme="majorBidi"/>
          <w:sz w:val="28"/>
          <w:szCs w:val="28"/>
        </w:rPr>
        <w:t xml:space="preserve"> (Fig. 2.6); the tail detaches and degenerates. Morphologically, the male and female pronuclei are indistinguishable, and eventually, they come into close contact and lose their nuclear envelopes (Fig. 2.7</w:t>
      </w:r>
      <w:r w:rsidRPr="0035686C">
        <w:rPr>
          <w:rFonts w:asciiTheme="majorBidi" w:hAnsiTheme="majorBidi" w:cstheme="majorBidi"/>
          <w:i/>
          <w:iCs/>
          <w:sz w:val="28"/>
          <w:szCs w:val="28"/>
        </w:rPr>
        <w:t>A</w:t>
      </w:r>
      <w:r w:rsidRPr="0035686C">
        <w:rPr>
          <w:rFonts w:asciiTheme="majorBidi" w:hAnsiTheme="majorBidi" w:cstheme="majorBidi"/>
          <w:sz w:val="28"/>
          <w:szCs w:val="28"/>
        </w:rPr>
        <w:t>). During growth of male and female pronuclei (both haploid), each pronucleus must replicate its DNA. Immediately after DNA synthesis, chromosomes organize on</w:t>
      </w:r>
      <w:r w:rsidR="00E059A0" w:rsidRPr="0035686C">
        <w:rPr>
          <w:rFonts w:asciiTheme="majorBidi" w:hAnsiTheme="majorBidi" w:cstheme="majorBidi"/>
          <w:sz w:val="28"/>
          <w:szCs w:val="28"/>
        </w:rPr>
        <w:t xml:space="preserve"> the spindle in preparation for a normal mitotic division. The 23 maternal and 23 paternal (double) chromosomes split longitudinally at the centromere, and sister chromatids move to opposite poles, providing each cell of the zygote with the normal diploid number of chromosomes and DNA (Fig. 2.6, </w:t>
      </w:r>
      <w:r w:rsidR="00E059A0" w:rsidRPr="0035686C">
        <w:rPr>
          <w:rFonts w:asciiTheme="majorBidi" w:hAnsiTheme="majorBidi" w:cstheme="majorBidi"/>
          <w:i/>
          <w:iCs/>
          <w:sz w:val="28"/>
          <w:szCs w:val="28"/>
        </w:rPr>
        <w:t xml:space="preserve">D </w:t>
      </w:r>
      <w:r w:rsidR="00E059A0" w:rsidRPr="0035686C">
        <w:rPr>
          <w:rFonts w:asciiTheme="majorBidi" w:hAnsiTheme="majorBidi" w:cstheme="majorBidi"/>
          <w:sz w:val="28"/>
          <w:szCs w:val="28"/>
        </w:rPr>
        <w:t xml:space="preserve">and </w:t>
      </w:r>
      <w:r w:rsidR="00E059A0" w:rsidRPr="0035686C">
        <w:rPr>
          <w:rFonts w:asciiTheme="majorBidi" w:hAnsiTheme="majorBidi" w:cstheme="majorBidi"/>
          <w:i/>
          <w:iCs/>
          <w:sz w:val="28"/>
          <w:szCs w:val="28"/>
        </w:rPr>
        <w:t xml:space="preserve">E </w:t>
      </w:r>
      <w:r w:rsidR="00E059A0" w:rsidRPr="0035686C">
        <w:rPr>
          <w:rFonts w:asciiTheme="majorBidi" w:hAnsiTheme="majorBidi" w:cstheme="majorBidi"/>
          <w:sz w:val="28"/>
          <w:szCs w:val="28"/>
        </w:rPr>
        <w:t>). As sister chromatids move to opposite poles, a deep furrow appears on the surface of the cell, gradually dividing the cytoplasm into two parts (Figs. 2.6</w:t>
      </w:r>
      <w:r w:rsidR="00E059A0" w:rsidRPr="0035686C">
        <w:rPr>
          <w:rFonts w:asciiTheme="majorBidi" w:hAnsiTheme="majorBidi" w:cstheme="majorBidi"/>
          <w:i/>
          <w:iCs/>
          <w:sz w:val="28"/>
          <w:szCs w:val="28"/>
        </w:rPr>
        <w:t>F</w:t>
      </w:r>
      <w:r w:rsidR="00E059A0" w:rsidRPr="0035686C">
        <w:rPr>
          <w:rFonts w:asciiTheme="majorBidi" w:hAnsiTheme="majorBidi" w:cstheme="majorBidi"/>
          <w:sz w:val="28"/>
          <w:szCs w:val="28"/>
        </w:rPr>
        <w:t>).</w:t>
      </w:r>
    </w:p>
    <w:p w:rsidR="0035686C" w:rsidRPr="0035686C" w:rsidRDefault="0035686C" w:rsidP="0035686C">
      <w:pPr>
        <w:autoSpaceDE w:val="0"/>
        <w:autoSpaceDN w:val="0"/>
        <w:bidi w:val="0"/>
        <w:adjustRightInd w:val="0"/>
        <w:spacing w:after="0" w:line="360" w:lineRule="auto"/>
        <w:ind w:firstLine="360"/>
        <w:jc w:val="both"/>
        <w:rPr>
          <w:rFonts w:asciiTheme="majorBidi" w:hAnsiTheme="majorBidi" w:cstheme="majorBidi"/>
          <w:sz w:val="28"/>
          <w:szCs w:val="28"/>
        </w:rPr>
      </w:pPr>
    </w:p>
    <w:p w:rsidR="0035686C" w:rsidRPr="0035686C" w:rsidRDefault="0035686C" w:rsidP="0035686C">
      <w:pPr>
        <w:autoSpaceDE w:val="0"/>
        <w:autoSpaceDN w:val="0"/>
        <w:bidi w:val="0"/>
        <w:adjustRightInd w:val="0"/>
        <w:spacing w:after="0" w:line="360" w:lineRule="auto"/>
        <w:ind w:firstLine="360"/>
        <w:jc w:val="both"/>
        <w:rPr>
          <w:rFonts w:asciiTheme="majorBidi" w:hAnsiTheme="majorBidi" w:cstheme="majorBidi"/>
          <w:sz w:val="28"/>
          <w:szCs w:val="28"/>
        </w:rPr>
      </w:pPr>
    </w:p>
    <w:p w:rsidR="00FE0918" w:rsidRPr="0035686C" w:rsidRDefault="00410527" w:rsidP="0035686C">
      <w:pPr>
        <w:tabs>
          <w:tab w:val="left" w:pos="904"/>
        </w:tabs>
        <w:bidi w:val="0"/>
        <w:spacing w:line="360" w:lineRule="auto"/>
        <w:rPr>
          <w:rFonts w:asciiTheme="majorBidi" w:hAnsiTheme="majorBidi" w:cstheme="majorBidi"/>
          <w:sz w:val="28"/>
          <w:szCs w:val="28"/>
          <w:lang w:bidi="ar-IQ"/>
        </w:rPr>
      </w:pPr>
      <w:r w:rsidRPr="0035686C">
        <w:rPr>
          <w:rFonts w:asciiTheme="majorBidi" w:hAnsiTheme="majorBidi" w:cstheme="majorBidi"/>
          <w:noProof/>
          <w:sz w:val="28"/>
          <w:szCs w:val="28"/>
        </w:rPr>
        <w:drawing>
          <wp:anchor distT="0" distB="0" distL="114300" distR="114300" simplePos="0" relativeHeight="251670528" behindDoc="0" locked="0" layoutInCell="1" allowOverlap="1">
            <wp:simplePos x="0" y="0"/>
            <wp:positionH relativeFrom="column">
              <wp:posOffset>630245</wp:posOffset>
            </wp:positionH>
            <wp:positionV relativeFrom="paragraph">
              <wp:posOffset>71548</wp:posOffset>
            </wp:positionV>
            <wp:extent cx="5050465" cy="3285224"/>
            <wp:effectExtent l="1905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049898" cy="3284855"/>
                    </a:xfrm>
                    <a:prstGeom prst="rect">
                      <a:avLst/>
                    </a:prstGeom>
                    <a:noFill/>
                    <a:ln w="9525">
                      <a:noFill/>
                      <a:miter lim="800000"/>
                      <a:headEnd/>
                      <a:tailEnd/>
                    </a:ln>
                  </pic:spPr>
                </pic:pic>
              </a:graphicData>
            </a:graphic>
          </wp:anchor>
        </w:drawing>
      </w:r>
    </w:p>
    <w:p w:rsidR="00FE0918" w:rsidRPr="0035686C" w:rsidRDefault="00FE0918" w:rsidP="0035686C">
      <w:pPr>
        <w:bidi w:val="0"/>
        <w:spacing w:line="360" w:lineRule="auto"/>
        <w:rPr>
          <w:rFonts w:asciiTheme="majorBidi" w:hAnsiTheme="majorBidi" w:cstheme="majorBidi"/>
          <w:sz w:val="28"/>
          <w:szCs w:val="28"/>
          <w:lang w:bidi="ar-IQ"/>
        </w:rPr>
      </w:pPr>
    </w:p>
    <w:p w:rsidR="00FE0918" w:rsidRPr="0035686C" w:rsidRDefault="00FE0918" w:rsidP="0035686C">
      <w:pPr>
        <w:bidi w:val="0"/>
        <w:spacing w:line="360" w:lineRule="auto"/>
        <w:rPr>
          <w:rFonts w:asciiTheme="majorBidi" w:hAnsiTheme="majorBidi" w:cstheme="majorBidi"/>
          <w:sz w:val="28"/>
          <w:szCs w:val="28"/>
          <w:lang w:bidi="ar-IQ"/>
        </w:rPr>
      </w:pPr>
    </w:p>
    <w:p w:rsidR="00FE0918" w:rsidRPr="0035686C" w:rsidRDefault="00FE0918" w:rsidP="0035686C">
      <w:pPr>
        <w:bidi w:val="0"/>
        <w:spacing w:line="360" w:lineRule="auto"/>
        <w:rPr>
          <w:rFonts w:asciiTheme="majorBidi" w:hAnsiTheme="majorBidi" w:cstheme="majorBidi"/>
          <w:sz w:val="28"/>
          <w:szCs w:val="28"/>
          <w:lang w:bidi="ar-IQ"/>
        </w:rPr>
      </w:pPr>
    </w:p>
    <w:p w:rsidR="00FE0918" w:rsidRPr="0035686C" w:rsidRDefault="00FE0918" w:rsidP="0035686C">
      <w:pPr>
        <w:bidi w:val="0"/>
        <w:spacing w:line="360" w:lineRule="auto"/>
        <w:rPr>
          <w:rFonts w:asciiTheme="majorBidi" w:hAnsiTheme="majorBidi" w:cstheme="majorBidi"/>
          <w:sz w:val="28"/>
          <w:szCs w:val="28"/>
          <w:lang w:bidi="ar-IQ"/>
        </w:rPr>
      </w:pPr>
    </w:p>
    <w:p w:rsidR="00FE0918" w:rsidRPr="0035686C" w:rsidRDefault="00FE0918" w:rsidP="0035686C">
      <w:pPr>
        <w:bidi w:val="0"/>
        <w:spacing w:line="360" w:lineRule="auto"/>
        <w:rPr>
          <w:rFonts w:asciiTheme="majorBidi" w:hAnsiTheme="majorBidi" w:cstheme="majorBidi"/>
          <w:sz w:val="28"/>
          <w:szCs w:val="28"/>
          <w:lang w:bidi="ar-IQ"/>
        </w:rPr>
      </w:pPr>
    </w:p>
    <w:p w:rsidR="00FE0918" w:rsidRPr="0035686C" w:rsidRDefault="00FE0918" w:rsidP="0035686C">
      <w:pPr>
        <w:bidi w:val="0"/>
        <w:spacing w:line="360" w:lineRule="auto"/>
        <w:rPr>
          <w:rFonts w:asciiTheme="majorBidi" w:hAnsiTheme="majorBidi" w:cstheme="majorBidi"/>
          <w:sz w:val="28"/>
          <w:szCs w:val="28"/>
          <w:lang w:bidi="ar-IQ"/>
        </w:rPr>
      </w:pPr>
    </w:p>
    <w:p w:rsidR="00FE0918" w:rsidRPr="0035686C" w:rsidRDefault="00FE0918" w:rsidP="0035686C">
      <w:pPr>
        <w:tabs>
          <w:tab w:val="left" w:pos="1038"/>
        </w:tabs>
        <w:bidi w:val="0"/>
        <w:spacing w:line="360" w:lineRule="auto"/>
        <w:rPr>
          <w:rFonts w:asciiTheme="majorBidi" w:hAnsiTheme="majorBidi" w:cstheme="majorBidi"/>
          <w:sz w:val="28"/>
          <w:szCs w:val="28"/>
          <w:lang w:bidi="ar-IQ"/>
        </w:rPr>
      </w:pPr>
      <w:r w:rsidRPr="0035686C">
        <w:rPr>
          <w:rFonts w:asciiTheme="majorBidi" w:hAnsiTheme="majorBidi" w:cstheme="majorBidi"/>
          <w:sz w:val="28"/>
          <w:szCs w:val="28"/>
          <w:lang w:bidi="ar-IQ"/>
        </w:rPr>
        <w:tab/>
      </w:r>
    </w:p>
    <w:p w:rsidR="00FE0918" w:rsidRPr="0035686C" w:rsidRDefault="00FE0918" w:rsidP="0035686C">
      <w:pPr>
        <w:bidi w:val="0"/>
        <w:spacing w:line="360" w:lineRule="auto"/>
        <w:rPr>
          <w:rFonts w:asciiTheme="majorBidi" w:hAnsiTheme="majorBidi" w:cstheme="majorBidi"/>
          <w:sz w:val="28"/>
          <w:szCs w:val="28"/>
          <w:lang w:bidi="ar-IQ"/>
        </w:rPr>
      </w:pPr>
    </w:p>
    <w:p w:rsidR="00D451C4" w:rsidRPr="0035686C" w:rsidRDefault="00D451C4" w:rsidP="0035686C">
      <w:pPr>
        <w:bidi w:val="0"/>
        <w:spacing w:line="360" w:lineRule="auto"/>
        <w:rPr>
          <w:rFonts w:asciiTheme="majorBidi" w:hAnsiTheme="majorBidi" w:cstheme="majorBidi"/>
          <w:sz w:val="28"/>
          <w:szCs w:val="28"/>
          <w:lang w:bidi="ar-IQ"/>
        </w:rPr>
      </w:pPr>
    </w:p>
    <w:p w:rsidR="002E31E1" w:rsidRPr="0035686C" w:rsidRDefault="002E31E1" w:rsidP="0035686C">
      <w:pPr>
        <w:autoSpaceDE w:val="0"/>
        <w:autoSpaceDN w:val="0"/>
        <w:bidi w:val="0"/>
        <w:adjustRightInd w:val="0"/>
        <w:spacing w:after="0" w:line="360" w:lineRule="auto"/>
        <w:jc w:val="both"/>
        <w:rPr>
          <w:rFonts w:asciiTheme="majorBidi" w:hAnsiTheme="majorBidi" w:cstheme="majorBidi"/>
          <w:sz w:val="28"/>
          <w:szCs w:val="28"/>
          <w:lang w:bidi="ar-IQ"/>
        </w:rPr>
      </w:pPr>
    </w:p>
    <w:p w:rsidR="00766FA2" w:rsidRPr="0035686C" w:rsidRDefault="00766FA2" w:rsidP="0035686C">
      <w:pPr>
        <w:pStyle w:val="ListParagraph"/>
        <w:numPr>
          <w:ilvl w:val="0"/>
          <w:numId w:val="2"/>
        </w:numPr>
        <w:autoSpaceDE w:val="0"/>
        <w:autoSpaceDN w:val="0"/>
        <w:bidi w:val="0"/>
        <w:adjustRightInd w:val="0"/>
        <w:spacing w:after="0" w:line="360" w:lineRule="auto"/>
        <w:jc w:val="both"/>
        <w:rPr>
          <w:rFonts w:asciiTheme="majorBidi" w:hAnsiTheme="majorBidi" w:cstheme="majorBidi"/>
          <w:b/>
          <w:bCs/>
          <w:sz w:val="28"/>
          <w:szCs w:val="28"/>
          <w:u w:val="single"/>
        </w:rPr>
      </w:pPr>
      <w:r w:rsidRPr="0035686C">
        <w:rPr>
          <w:rFonts w:asciiTheme="majorBidi" w:hAnsiTheme="majorBidi" w:cstheme="majorBidi"/>
          <w:b/>
          <w:bCs/>
          <w:sz w:val="28"/>
          <w:szCs w:val="28"/>
          <w:u w:val="single"/>
        </w:rPr>
        <w:t>Cleavage</w:t>
      </w:r>
    </w:p>
    <w:p w:rsidR="00FA2E54" w:rsidRPr="0035686C" w:rsidRDefault="00766FA2"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Once the zygote has reached the two-cell stage, it undergoes a series of mitotic divisions, increasing the numbers of cells. These cells, which become smaller with each cleavage division, are known as </w:t>
      </w:r>
      <w:r w:rsidRPr="0035686C">
        <w:rPr>
          <w:rFonts w:asciiTheme="majorBidi" w:hAnsiTheme="majorBidi" w:cstheme="majorBidi"/>
          <w:b/>
          <w:bCs/>
          <w:sz w:val="28"/>
          <w:szCs w:val="28"/>
        </w:rPr>
        <w:t xml:space="preserve">blastomeres </w:t>
      </w:r>
      <w:r w:rsidRPr="0035686C">
        <w:rPr>
          <w:rFonts w:asciiTheme="majorBidi" w:hAnsiTheme="majorBidi" w:cstheme="majorBidi"/>
          <w:sz w:val="28"/>
          <w:szCs w:val="28"/>
        </w:rPr>
        <w:t xml:space="preserve">(Fig. 2.8). Until the eight-cell stage, they form a loosely arranged clump. However, after the third cleavage, blastomeres maximize their contact with each other, forming a compact ball of cells held together by tight junctions. </w:t>
      </w:r>
    </w:p>
    <w:p w:rsidR="00FA2E54" w:rsidRPr="0035686C" w:rsidRDefault="00766FA2"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This process, </w:t>
      </w:r>
      <w:r w:rsidRPr="0035686C">
        <w:rPr>
          <w:rFonts w:asciiTheme="majorBidi" w:hAnsiTheme="majorBidi" w:cstheme="majorBidi"/>
          <w:b/>
          <w:bCs/>
          <w:sz w:val="28"/>
          <w:szCs w:val="28"/>
        </w:rPr>
        <w:t xml:space="preserve">compaction, </w:t>
      </w:r>
      <w:r w:rsidRPr="0035686C">
        <w:rPr>
          <w:rFonts w:asciiTheme="majorBidi" w:hAnsiTheme="majorBidi" w:cstheme="majorBidi"/>
          <w:sz w:val="28"/>
          <w:szCs w:val="28"/>
        </w:rPr>
        <w:t xml:space="preserve">segregates inner cells, which communicate extensively by gap junctions, from outer cells. Approximately 3 days after fertilization, cells of the compacted embryo divide again to form a 16-cell </w:t>
      </w:r>
      <w:r w:rsidRPr="0035686C">
        <w:rPr>
          <w:rFonts w:asciiTheme="majorBidi" w:hAnsiTheme="majorBidi" w:cstheme="majorBidi"/>
          <w:b/>
          <w:bCs/>
          <w:sz w:val="28"/>
          <w:szCs w:val="28"/>
        </w:rPr>
        <w:t>morula</w:t>
      </w:r>
      <w:r w:rsidRPr="0035686C">
        <w:rPr>
          <w:rFonts w:asciiTheme="majorBidi" w:hAnsiTheme="majorBidi" w:cstheme="majorBidi"/>
          <w:sz w:val="28"/>
          <w:szCs w:val="28"/>
        </w:rPr>
        <w:t xml:space="preserve">. Inner cells of the morula constitute the </w:t>
      </w:r>
      <w:r w:rsidRPr="0035686C">
        <w:rPr>
          <w:rFonts w:asciiTheme="majorBidi" w:hAnsiTheme="majorBidi" w:cstheme="majorBidi"/>
          <w:b/>
          <w:bCs/>
          <w:sz w:val="28"/>
          <w:szCs w:val="28"/>
        </w:rPr>
        <w:t xml:space="preserve">inner cell mass, </w:t>
      </w:r>
      <w:r w:rsidRPr="0035686C">
        <w:rPr>
          <w:rFonts w:asciiTheme="majorBidi" w:hAnsiTheme="majorBidi" w:cstheme="majorBidi"/>
          <w:sz w:val="28"/>
          <w:szCs w:val="28"/>
        </w:rPr>
        <w:t xml:space="preserve">and surrounding cells compose the </w:t>
      </w:r>
      <w:r w:rsidRPr="0035686C">
        <w:rPr>
          <w:rFonts w:asciiTheme="majorBidi" w:hAnsiTheme="majorBidi" w:cstheme="majorBidi"/>
          <w:b/>
          <w:bCs/>
          <w:sz w:val="28"/>
          <w:szCs w:val="28"/>
        </w:rPr>
        <w:t xml:space="preserve">outer cell mass. </w:t>
      </w:r>
      <w:r w:rsidRPr="0035686C">
        <w:rPr>
          <w:rFonts w:asciiTheme="majorBidi" w:hAnsiTheme="majorBidi" w:cstheme="majorBidi"/>
          <w:sz w:val="28"/>
          <w:szCs w:val="28"/>
        </w:rPr>
        <w:t>The inner cell mass gives rise to tissues of the</w:t>
      </w:r>
      <w:r w:rsidR="00FA2E54" w:rsidRPr="0035686C">
        <w:rPr>
          <w:rFonts w:asciiTheme="majorBidi" w:hAnsiTheme="majorBidi" w:cstheme="majorBidi"/>
          <w:sz w:val="28"/>
          <w:szCs w:val="28"/>
        </w:rPr>
        <w:t xml:space="preserve"> </w:t>
      </w:r>
      <w:r w:rsidR="00FA2E54" w:rsidRPr="0035686C">
        <w:rPr>
          <w:rFonts w:asciiTheme="majorBidi" w:hAnsiTheme="majorBidi" w:cstheme="majorBidi"/>
          <w:b/>
          <w:bCs/>
          <w:sz w:val="28"/>
          <w:szCs w:val="28"/>
        </w:rPr>
        <w:t xml:space="preserve">embryo proper, </w:t>
      </w:r>
      <w:r w:rsidR="00FA2E54" w:rsidRPr="0035686C">
        <w:rPr>
          <w:rFonts w:asciiTheme="majorBidi" w:hAnsiTheme="majorBidi" w:cstheme="majorBidi"/>
          <w:sz w:val="28"/>
          <w:szCs w:val="28"/>
        </w:rPr>
        <w:t xml:space="preserve">and the outer cell mass forms the </w:t>
      </w:r>
      <w:r w:rsidR="00FA2E54" w:rsidRPr="0035686C">
        <w:rPr>
          <w:rFonts w:asciiTheme="majorBidi" w:hAnsiTheme="majorBidi" w:cstheme="majorBidi"/>
          <w:b/>
          <w:bCs/>
          <w:sz w:val="28"/>
          <w:szCs w:val="28"/>
        </w:rPr>
        <w:t xml:space="preserve">trophoblast, </w:t>
      </w:r>
      <w:r w:rsidR="00FA2E54" w:rsidRPr="0035686C">
        <w:rPr>
          <w:rFonts w:asciiTheme="majorBidi" w:hAnsiTheme="majorBidi" w:cstheme="majorBidi"/>
          <w:sz w:val="28"/>
          <w:szCs w:val="28"/>
        </w:rPr>
        <w:t xml:space="preserve">which later contributes to the </w:t>
      </w:r>
      <w:r w:rsidR="00FA2E54" w:rsidRPr="0035686C">
        <w:rPr>
          <w:rFonts w:asciiTheme="majorBidi" w:hAnsiTheme="majorBidi" w:cstheme="majorBidi"/>
          <w:b/>
          <w:bCs/>
          <w:sz w:val="28"/>
          <w:szCs w:val="28"/>
        </w:rPr>
        <w:t>placenta.</w:t>
      </w:r>
    </w:p>
    <w:p w:rsidR="00110584" w:rsidRPr="0035686C" w:rsidRDefault="00585A07" w:rsidP="0035686C">
      <w:pPr>
        <w:bidi w:val="0"/>
        <w:spacing w:line="360" w:lineRule="auto"/>
        <w:ind w:firstLine="720"/>
        <w:rPr>
          <w:rFonts w:asciiTheme="majorBidi" w:hAnsiTheme="majorBidi" w:cstheme="majorBidi"/>
          <w:sz w:val="28"/>
          <w:szCs w:val="28"/>
          <w:lang w:bidi="ar-IQ"/>
        </w:rPr>
      </w:pPr>
      <w:r w:rsidRPr="0035686C">
        <w:rPr>
          <w:rFonts w:asciiTheme="majorBidi" w:hAnsiTheme="majorBidi" w:cstheme="majorBidi"/>
          <w:noProof/>
          <w:sz w:val="28"/>
          <w:szCs w:val="28"/>
        </w:rPr>
        <w:drawing>
          <wp:anchor distT="0" distB="0" distL="114300" distR="114300" simplePos="0" relativeHeight="251671552" behindDoc="0" locked="0" layoutInCell="1" allowOverlap="1">
            <wp:simplePos x="0" y="0"/>
            <wp:positionH relativeFrom="column">
              <wp:posOffset>476841</wp:posOffset>
            </wp:positionH>
            <wp:positionV relativeFrom="paragraph">
              <wp:posOffset>116500</wp:posOffset>
            </wp:positionV>
            <wp:extent cx="5065646" cy="1371600"/>
            <wp:effectExtent l="19050" t="0" r="1654"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065646" cy="1371600"/>
                    </a:xfrm>
                    <a:prstGeom prst="rect">
                      <a:avLst/>
                    </a:prstGeom>
                    <a:noFill/>
                    <a:ln w="9525">
                      <a:noFill/>
                      <a:miter lim="800000"/>
                      <a:headEnd/>
                      <a:tailEnd/>
                    </a:ln>
                  </pic:spPr>
                </pic:pic>
              </a:graphicData>
            </a:graphic>
          </wp:anchor>
        </w:drawing>
      </w:r>
    </w:p>
    <w:p w:rsidR="00110584" w:rsidRPr="0035686C" w:rsidRDefault="00110584" w:rsidP="0035686C">
      <w:pPr>
        <w:bidi w:val="0"/>
        <w:spacing w:line="360" w:lineRule="auto"/>
        <w:rPr>
          <w:rFonts w:asciiTheme="majorBidi" w:hAnsiTheme="majorBidi" w:cstheme="majorBidi"/>
          <w:sz w:val="28"/>
          <w:szCs w:val="28"/>
          <w:lang w:bidi="ar-IQ"/>
        </w:rPr>
      </w:pPr>
    </w:p>
    <w:p w:rsidR="00110584" w:rsidRPr="0035686C" w:rsidRDefault="00110584" w:rsidP="0035686C">
      <w:pPr>
        <w:bidi w:val="0"/>
        <w:spacing w:line="360" w:lineRule="auto"/>
        <w:rPr>
          <w:rFonts w:asciiTheme="majorBidi" w:hAnsiTheme="majorBidi" w:cstheme="majorBidi"/>
          <w:sz w:val="28"/>
          <w:szCs w:val="28"/>
          <w:lang w:bidi="ar-IQ"/>
        </w:rPr>
      </w:pPr>
    </w:p>
    <w:p w:rsidR="00110584" w:rsidRPr="0035686C" w:rsidRDefault="00110584" w:rsidP="0035686C">
      <w:pPr>
        <w:bidi w:val="0"/>
        <w:spacing w:line="360" w:lineRule="auto"/>
        <w:rPr>
          <w:rFonts w:asciiTheme="majorBidi" w:hAnsiTheme="majorBidi" w:cstheme="majorBidi"/>
          <w:sz w:val="28"/>
          <w:szCs w:val="28"/>
          <w:lang w:bidi="ar-IQ"/>
        </w:rPr>
      </w:pPr>
    </w:p>
    <w:p w:rsidR="0007378B" w:rsidRPr="0035686C" w:rsidRDefault="00110584" w:rsidP="0035686C">
      <w:pPr>
        <w:autoSpaceDE w:val="0"/>
        <w:autoSpaceDN w:val="0"/>
        <w:bidi w:val="0"/>
        <w:adjustRightInd w:val="0"/>
        <w:spacing w:after="0" w:line="360" w:lineRule="auto"/>
        <w:rPr>
          <w:rFonts w:asciiTheme="majorBidi" w:hAnsiTheme="majorBidi" w:cstheme="majorBidi"/>
          <w:sz w:val="28"/>
          <w:szCs w:val="28"/>
          <w:lang w:bidi="ar-IQ"/>
        </w:rPr>
      </w:pPr>
      <w:r w:rsidRPr="0035686C">
        <w:rPr>
          <w:rFonts w:asciiTheme="majorBidi" w:hAnsiTheme="majorBidi" w:cstheme="majorBidi"/>
          <w:sz w:val="28"/>
          <w:szCs w:val="28"/>
          <w:lang w:bidi="ar-IQ"/>
        </w:rPr>
        <w:tab/>
      </w:r>
    </w:p>
    <w:p w:rsidR="00083A1B" w:rsidRPr="0035686C" w:rsidRDefault="00110584" w:rsidP="0035686C">
      <w:pPr>
        <w:autoSpaceDE w:val="0"/>
        <w:autoSpaceDN w:val="0"/>
        <w:bidi w:val="0"/>
        <w:adjustRightInd w:val="0"/>
        <w:spacing w:after="0" w:line="360" w:lineRule="auto"/>
        <w:rPr>
          <w:rFonts w:asciiTheme="majorBidi" w:hAnsiTheme="majorBidi" w:cstheme="majorBidi"/>
          <w:sz w:val="28"/>
          <w:szCs w:val="28"/>
        </w:rPr>
      </w:pPr>
      <w:r w:rsidRPr="0035686C">
        <w:rPr>
          <w:rFonts w:asciiTheme="majorBidi" w:hAnsiTheme="majorBidi" w:cstheme="majorBidi"/>
          <w:b/>
          <w:bCs/>
          <w:sz w:val="28"/>
          <w:szCs w:val="28"/>
        </w:rPr>
        <w:t>Figure 2.8</w:t>
      </w:r>
    </w:p>
    <w:p w:rsidR="00083A1B" w:rsidRPr="0035686C" w:rsidRDefault="00083A1B" w:rsidP="0035686C">
      <w:pPr>
        <w:pStyle w:val="ListParagraph"/>
        <w:numPr>
          <w:ilvl w:val="0"/>
          <w:numId w:val="2"/>
        </w:numPr>
        <w:autoSpaceDE w:val="0"/>
        <w:autoSpaceDN w:val="0"/>
        <w:bidi w:val="0"/>
        <w:adjustRightInd w:val="0"/>
        <w:spacing w:after="0" w:line="360" w:lineRule="auto"/>
        <w:jc w:val="both"/>
        <w:rPr>
          <w:rFonts w:asciiTheme="majorBidi" w:hAnsiTheme="majorBidi" w:cstheme="majorBidi"/>
          <w:b/>
          <w:bCs/>
          <w:sz w:val="28"/>
          <w:szCs w:val="28"/>
          <w:u w:val="single"/>
        </w:rPr>
      </w:pPr>
      <w:r w:rsidRPr="0035686C">
        <w:rPr>
          <w:rFonts w:asciiTheme="majorBidi" w:hAnsiTheme="majorBidi" w:cstheme="majorBidi"/>
          <w:b/>
          <w:bCs/>
          <w:sz w:val="28"/>
          <w:szCs w:val="28"/>
          <w:u w:val="single"/>
        </w:rPr>
        <w:t>Blastocyst Formation</w:t>
      </w:r>
    </w:p>
    <w:p w:rsidR="00935824" w:rsidRPr="0035686C" w:rsidRDefault="00935824" w:rsidP="0035686C">
      <w:pPr>
        <w:autoSpaceDE w:val="0"/>
        <w:autoSpaceDN w:val="0"/>
        <w:bidi w:val="0"/>
        <w:adjustRightInd w:val="0"/>
        <w:spacing w:after="0" w:line="360" w:lineRule="auto"/>
        <w:ind w:firstLine="360"/>
        <w:jc w:val="both"/>
        <w:rPr>
          <w:rFonts w:asciiTheme="majorBidi" w:hAnsiTheme="majorBidi" w:cstheme="majorBidi"/>
          <w:sz w:val="28"/>
          <w:szCs w:val="28"/>
        </w:rPr>
      </w:pPr>
    </w:p>
    <w:p w:rsidR="00083A1B" w:rsidRPr="0035686C" w:rsidRDefault="00083A1B"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About the time the morula enters the uterine cavity, fluid begins to penetrate through the zona pellucida into the intercellular spaces of the inner cell mass. Gradually the intercellular spaces become confluent, and finally a single cavity, the </w:t>
      </w:r>
      <w:r w:rsidRPr="0035686C">
        <w:rPr>
          <w:rFonts w:asciiTheme="majorBidi" w:hAnsiTheme="majorBidi" w:cstheme="majorBidi"/>
          <w:b/>
          <w:bCs/>
          <w:sz w:val="28"/>
          <w:szCs w:val="28"/>
        </w:rPr>
        <w:t xml:space="preserve">blastocele, </w:t>
      </w:r>
      <w:r w:rsidRPr="0035686C">
        <w:rPr>
          <w:rFonts w:asciiTheme="majorBidi" w:hAnsiTheme="majorBidi" w:cstheme="majorBidi"/>
          <w:sz w:val="28"/>
          <w:szCs w:val="28"/>
        </w:rPr>
        <w:t xml:space="preserve">forms (Fig. 2.10, </w:t>
      </w:r>
      <w:r w:rsidRPr="0035686C">
        <w:rPr>
          <w:rFonts w:asciiTheme="majorBidi" w:hAnsiTheme="majorBidi" w:cstheme="majorBidi"/>
          <w:i/>
          <w:iCs/>
          <w:sz w:val="28"/>
          <w:szCs w:val="28"/>
        </w:rPr>
        <w:t xml:space="preserve">A </w:t>
      </w:r>
      <w:r w:rsidRPr="0035686C">
        <w:rPr>
          <w:rFonts w:asciiTheme="majorBidi" w:hAnsiTheme="majorBidi" w:cstheme="majorBidi"/>
          <w:sz w:val="28"/>
          <w:szCs w:val="28"/>
        </w:rPr>
        <w:t xml:space="preserve">and </w:t>
      </w:r>
      <w:r w:rsidRPr="0035686C">
        <w:rPr>
          <w:rFonts w:asciiTheme="majorBidi" w:hAnsiTheme="majorBidi" w:cstheme="majorBidi"/>
          <w:i/>
          <w:iCs/>
          <w:sz w:val="28"/>
          <w:szCs w:val="28"/>
        </w:rPr>
        <w:t>B</w:t>
      </w:r>
      <w:r w:rsidRPr="0035686C">
        <w:rPr>
          <w:rFonts w:asciiTheme="majorBidi" w:hAnsiTheme="majorBidi" w:cstheme="majorBidi"/>
          <w:sz w:val="28"/>
          <w:szCs w:val="28"/>
        </w:rPr>
        <w:t xml:space="preserve">). At this time, the embryo is a </w:t>
      </w:r>
      <w:r w:rsidRPr="0035686C">
        <w:rPr>
          <w:rFonts w:asciiTheme="majorBidi" w:hAnsiTheme="majorBidi" w:cstheme="majorBidi"/>
          <w:b/>
          <w:bCs/>
          <w:sz w:val="28"/>
          <w:szCs w:val="28"/>
        </w:rPr>
        <w:t xml:space="preserve">blastocyst. </w:t>
      </w:r>
      <w:r w:rsidRPr="0035686C">
        <w:rPr>
          <w:rFonts w:asciiTheme="majorBidi" w:hAnsiTheme="majorBidi" w:cstheme="majorBidi"/>
          <w:sz w:val="28"/>
          <w:szCs w:val="28"/>
        </w:rPr>
        <w:t xml:space="preserve">Cells of the inner cell </w:t>
      </w:r>
      <w:r w:rsidRPr="0035686C">
        <w:rPr>
          <w:rFonts w:asciiTheme="majorBidi" w:hAnsiTheme="majorBidi" w:cstheme="majorBidi"/>
          <w:sz w:val="28"/>
          <w:szCs w:val="28"/>
        </w:rPr>
        <w:lastRenderedPageBreak/>
        <w:t xml:space="preserve">mass, now called the </w:t>
      </w:r>
      <w:r w:rsidRPr="0035686C">
        <w:rPr>
          <w:rFonts w:asciiTheme="majorBidi" w:hAnsiTheme="majorBidi" w:cstheme="majorBidi"/>
          <w:b/>
          <w:bCs/>
          <w:sz w:val="28"/>
          <w:szCs w:val="28"/>
        </w:rPr>
        <w:t xml:space="preserve">embryoblast, </w:t>
      </w:r>
      <w:r w:rsidRPr="0035686C">
        <w:rPr>
          <w:rFonts w:asciiTheme="majorBidi" w:hAnsiTheme="majorBidi" w:cstheme="majorBidi"/>
          <w:sz w:val="28"/>
          <w:szCs w:val="28"/>
        </w:rPr>
        <w:t xml:space="preserve">are at one pole, and those of the outer cell mass, or </w:t>
      </w:r>
      <w:r w:rsidRPr="0035686C">
        <w:rPr>
          <w:rFonts w:asciiTheme="majorBidi" w:hAnsiTheme="majorBidi" w:cstheme="majorBidi"/>
          <w:b/>
          <w:bCs/>
          <w:sz w:val="28"/>
          <w:szCs w:val="28"/>
        </w:rPr>
        <w:t xml:space="preserve">trophoblast, </w:t>
      </w:r>
      <w:r w:rsidRPr="0035686C">
        <w:rPr>
          <w:rFonts w:asciiTheme="majorBidi" w:hAnsiTheme="majorBidi" w:cstheme="majorBidi"/>
          <w:sz w:val="28"/>
          <w:szCs w:val="28"/>
        </w:rPr>
        <w:t xml:space="preserve">flatten and form the epithelial wall of the blastocyst (Fig. 2.10, </w:t>
      </w:r>
      <w:r w:rsidRPr="0035686C">
        <w:rPr>
          <w:rFonts w:asciiTheme="majorBidi" w:hAnsiTheme="majorBidi" w:cstheme="majorBidi"/>
          <w:i/>
          <w:iCs/>
          <w:sz w:val="28"/>
          <w:szCs w:val="28"/>
        </w:rPr>
        <w:t xml:space="preserve">A </w:t>
      </w:r>
      <w:r w:rsidRPr="0035686C">
        <w:rPr>
          <w:rFonts w:asciiTheme="majorBidi" w:hAnsiTheme="majorBidi" w:cstheme="majorBidi"/>
          <w:sz w:val="28"/>
          <w:szCs w:val="28"/>
        </w:rPr>
        <w:t xml:space="preserve">and </w:t>
      </w:r>
      <w:r w:rsidRPr="0035686C">
        <w:rPr>
          <w:rFonts w:asciiTheme="majorBidi" w:hAnsiTheme="majorBidi" w:cstheme="majorBidi"/>
          <w:i/>
          <w:iCs/>
          <w:sz w:val="28"/>
          <w:szCs w:val="28"/>
        </w:rPr>
        <w:t>B</w:t>
      </w:r>
      <w:r w:rsidRPr="0035686C">
        <w:rPr>
          <w:rFonts w:asciiTheme="majorBidi" w:hAnsiTheme="majorBidi" w:cstheme="majorBidi"/>
          <w:sz w:val="28"/>
          <w:szCs w:val="28"/>
        </w:rPr>
        <w:t>). The zona pellucid has disappeared, allowing implantation to begin.</w:t>
      </w:r>
    </w:p>
    <w:p w:rsidR="000C5C38" w:rsidRPr="0035686C" w:rsidRDefault="00083A1B"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 xml:space="preserve">In the human, trophoblastic cells over the embryoblast pole begin to penetrate between the epithelial cells of the uterine mucosa about the sixth day (Fig. </w:t>
      </w:r>
      <w:r w:rsidR="000C5C38" w:rsidRPr="0035686C">
        <w:rPr>
          <w:rFonts w:asciiTheme="majorBidi" w:hAnsiTheme="majorBidi" w:cstheme="majorBidi"/>
          <w:sz w:val="28"/>
          <w:szCs w:val="28"/>
        </w:rPr>
        <w:t>2.10</w:t>
      </w:r>
      <w:r w:rsidR="000C5C38" w:rsidRPr="0035686C">
        <w:rPr>
          <w:rFonts w:asciiTheme="majorBidi" w:hAnsiTheme="majorBidi" w:cstheme="majorBidi"/>
          <w:i/>
          <w:iCs/>
          <w:sz w:val="28"/>
          <w:szCs w:val="28"/>
        </w:rPr>
        <w:t>C)</w:t>
      </w:r>
      <w:r w:rsidRPr="0035686C">
        <w:rPr>
          <w:rFonts w:asciiTheme="majorBidi" w:hAnsiTheme="majorBidi" w:cstheme="majorBidi"/>
          <w:sz w:val="28"/>
          <w:szCs w:val="28"/>
        </w:rPr>
        <w:t xml:space="preserve">. </w:t>
      </w:r>
    </w:p>
    <w:p w:rsidR="00083A1B" w:rsidRPr="0035686C" w:rsidRDefault="000C5C38" w:rsidP="0035686C">
      <w:pPr>
        <w:autoSpaceDE w:val="0"/>
        <w:autoSpaceDN w:val="0"/>
        <w:bidi w:val="0"/>
        <w:adjustRightInd w:val="0"/>
        <w:spacing w:after="0" w:line="360" w:lineRule="auto"/>
        <w:ind w:firstLine="360"/>
        <w:jc w:val="both"/>
        <w:rPr>
          <w:rFonts w:asciiTheme="majorBidi" w:hAnsiTheme="majorBidi" w:cstheme="majorBidi"/>
          <w:sz w:val="28"/>
          <w:szCs w:val="28"/>
        </w:rPr>
      </w:pPr>
      <w:r w:rsidRPr="0035686C">
        <w:rPr>
          <w:rFonts w:asciiTheme="majorBidi" w:hAnsiTheme="majorBidi" w:cstheme="majorBidi"/>
          <w:sz w:val="28"/>
          <w:szCs w:val="28"/>
        </w:rPr>
        <w:t>By</w:t>
      </w:r>
      <w:r w:rsidR="00083A1B" w:rsidRPr="0035686C">
        <w:rPr>
          <w:rFonts w:asciiTheme="majorBidi" w:hAnsiTheme="majorBidi" w:cstheme="majorBidi"/>
          <w:sz w:val="28"/>
          <w:szCs w:val="28"/>
        </w:rPr>
        <w:t xml:space="preserve"> the end of the first week of development, the human zygote has passed through the morula and blastocyst stages and has begun implantation in the uterine mucosa.</w:t>
      </w:r>
    </w:p>
    <w:p w:rsidR="00EC6376" w:rsidRPr="0035686C" w:rsidRDefault="00C43F9E" w:rsidP="0035686C">
      <w:pPr>
        <w:tabs>
          <w:tab w:val="left" w:pos="1105"/>
        </w:tabs>
        <w:bidi w:val="0"/>
        <w:spacing w:line="360" w:lineRule="auto"/>
        <w:rPr>
          <w:rFonts w:asciiTheme="majorBidi" w:hAnsiTheme="majorBidi" w:cstheme="majorBidi"/>
          <w:sz w:val="28"/>
          <w:szCs w:val="28"/>
          <w:lang w:bidi="ar-IQ"/>
        </w:rPr>
      </w:pPr>
      <w:r w:rsidRPr="0035686C">
        <w:rPr>
          <w:rFonts w:asciiTheme="majorBidi" w:hAnsiTheme="majorBidi" w:cstheme="majorBidi"/>
          <w:noProof/>
          <w:sz w:val="28"/>
          <w:szCs w:val="28"/>
        </w:rPr>
        <w:drawing>
          <wp:anchor distT="0" distB="0" distL="114300" distR="114300" simplePos="0" relativeHeight="251672576" behindDoc="0" locked="0" layoutInCell="1" allowOverlap="1">
            <wp:simplePos x="0" y="0"/>
            <wp:positionH relativeFrom="column">
              <wp:posOffset>128270</wp:posOffset>
            </wp:positionH>
            <wp:positionV relativeFrom="paragraph">
              <wp:posOffset>217805</wp:posOffset>
            </wp:positionV>
            <wp:extent cx="6328410" cy="2880995"/>
            <wp:effectExtent l="19050" t="0" r="0" b="0"/>
            <wp:wrapNone/>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t="54606"/>
                    <a:stretch>
                      <a:fillRect/>
                    </a:stretch>
                  </pic:blipFill>
                  <pic:spPr bwMode="auto">
                    <a:xfrm>
                      <a:off x="0" y="0"/>
                      <a:ext cx="6328410" cy="2880995"/>
                    </a:xfrm>
                    <a:prstGeom prst="rect">
                      <a:avLst/>
                    </a:prstGeom>
                    <a:noFill/>
                    <a:ln w="9525">
                      <a:noFill/>
                      <a:miter lim="800000"/>
                      <a:headEnd/>
                      <a:tailEnd/>
                    </a:ln>
                  </pic:spPr>
                </pic:pic>
              </a:graphicData>
            </a:graphic>
          </wp:anchor>
        </w:drawing>
      </w:r>
    </w:p>
    <w:p w:rsidR="00EC6376" w:rsidRPr="0035686C" w:rsidRDefault="00EC6376" w:rsidP="0035686C">
      <w:pPr>
        <w:bidi w:val="0"/>
        <w:spacing w:line="360" w:lineRule="auto"/>
        <w:rPr>
          <w:rFonts w:asciiTheme="majorBidi" w:hAnsiTheme="majorBidi" w:cstheme="majorBidi"/>
          <w:sz w:val="28"/>
          <w:szCs w:val="28"/>
          <w:lang w:bidi="ar-IQ"/>
        </w:rPr>
      </w:pPr>
    </w:p>
    <w:p w:rsidR="00EC6376" w:rsidRPr="0035686C" w:rsidRDefault="00EC6376" w:rsidP="0035686C">
      <w:pPr>
        <w:bidi w:val="0"/>
        <w:spacing w:line="360" w:lineRule="auto"/>
        <w:rPr>
          <w:rFonts w:asciiTheme="majorBidi" w:hAnsiTheme="majorBidi" w:cstheme="majorBidi"/>
          <w:sz w:val="28"/>
          <w:szCs w:val="28"/>
          <w:lang w:bidi="ar-IQ"/>
        </w:rPr>
      </w:pPr>
    </w:p>
    <w:p w:rsidR="00EC6376" w:rsidRPr="0035686C" w:rsidRDefault="00EC6376" w:rsidP="0035686C">
      <w:pPr>
        <w:bidi w:val="0"/>
        <w:spacing w:line="360" w:lineRule="auto"/>
        <w:rPr>
          <w:rFonts w:asciiTheme="majorBidi" w:hAnsiTheme="majorBidi" w:cstheme="majorBidi"/>
          <w:sz w:val="28"/>
          <w:szCs w:val="28"/>
          <w:lang w:bidi="ar-IQ"/>
        </w:rPr>
      </w:pPr>
    </w:p>
    <w:p w:rsidR="00EC6376" w:rsidRPr="0035686C" w:rsidRDefault="00EC6376" w:rsidP="0035686C">
      <w:pPr>
        <w:bidi w:val="0"/>
        <w:spacing w:line="360" w:lineRule="auto"/>
        <w:rPr>
          <w:rFonts w:asciiTheme="majorBidi" w:hAnsiTheme="majorBidi" w:cstheme="majorBidi"/>
          <w:sz w:val="28"/>
          <w:szCs w:val="28"/>
          <w:lang w:bidi="ar-IQ"/>
        </w:rPr>
      </w:pPr>
    </w:p>
    <w:p w:rsidR="00EC6376" w:rsidRPr="0035686C" w:rsidRDefault="00EC6376" w:rsidP="0035686C">
      <w:pPr>
        <w:bidi w:val="0"/>
        <w:spacing w:line="360" w:lineRule="auto"/>
        <w:rPr>
          <w:rFonts w:asciiTheme="majorBidi" w:hAnsiTheme="majorBidi" w:cstheme="majorBidi"/>
          <w:sz w:val="28"/>
          <w:szCs w:val="28"/>
          <w:lang w:bidi="ar-IQ"/>
        </w:rPr>
      </w:pPr>
    </w:p>
    <w:p w:rsidR="00EC6376" w:rsidRPr="0035686C" w:rsidRDefault="00EC6376" w:rsidP="0035686C">
      <w:pPr>
        <w:bidi w:val="0"/>
        <w:spacing w:line="360" w:lineRule="auto"/>
        <w:rPr>
          <w:rFonts w:asciiTheme="majorBidi" w:hAnsiTheme="majorBidi" w:cstheme="majorBidi"/>
          <w:sz w:val="28"/>
          <w:szCs w:val="28"/>
          <w:lang w:bidi="ar-IQ"/>
        </w:rPr>
      </w:pPr>
    </w:p>
    <w:p w:rsidR="00EC6376" w:rsidRPr="0035686C" w:rsidRDefault="00EC6376" w:rsidP="0035686C">
      <w:pPr>
        <w:bidi w:val="0"/>
        <w:spacing w:line="360" w:lineRule="auto"/>
        <w:rPr>
          <w:rFonts w:asciiTheme="majorBidi" w:hAnsiTheme="majorBidi" w:cstheme="majorBidi"/>
          <w:sz w:val="28"/>
          <w:szCs w:val="28"/>
          <w:lang w:bidi="ar-IQ"/>
        </w:rPr>
      </w:pPr>
    </w:p>
    <w:p w:rsidR="00956184" w:rsidRPr="00956184" w:rsidRDefault="00956184" w:rsidP="00956184">
      <w:pPr>
        <w:autoSpaceDE w:val="0"/>
        <w:autoSpaceDN w:val="0"/>
        <w:bidi w:val="0"/>
        <w:adjustRightInd w:val="0"/>
        <w:spacing w:after="0" w:line="360" w:lineRule="auto"/>
        <w:jc w:val="both"/>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color w:val="1AB3FF"/>
          <w:sz w:val="28"/>
          <w:szCs w:val="28"/>
        </w:rPr>
      </w:pPr>
    </w:p>
    <w:p w:rsidR="00956184" w:rsidRPr="00301B95" w:rsidRDefault="00956184" w:rsidP="00956184">
      <w:pPr>
        <w:pStyle w:val="ListParagraph"/>
        <w:numPr>
          <w:ilvl w:val="0"/>
          <w:numId w:val="7"/>
        </w:numPr>
        <w:autoSpaceDE w:val="0"/>
        <w:autoSpaceDN w:val="0"/>
        <w:bidi w:val="0"/>
        <w:adjustRightInd w:val="0"/>
        <w:spacing w:after="0" w:line="360" w:lineRule="auto"/>
        <w:jc w:val="both"/>
        <w:rPr>
          <w:rFonts w:asciiTheme="majorBidi" w:hAnsiTheme="majorBidi" w:cstheme="majorBidi"/>
          <w:b/>
          <w:bCs/>
          <w:sz w:val="28"/>
          <w:szCs w:val="28"/>
        </w:rPr>
      </w:pPr>
      <w:r w:rsidRPr="00301B95">
        <w:rPr>
          <w:rFonts w:asciiTheme="majorBidi" w:hAnsiTheme="majorBidi" w:cstheme="majorBidi"/>
          <w:b/>
          <w:bCs/>
          <w:sz w:val="28"/>
          <w:szCs w:val="28"/>
          <w:u w:val="single"/>
        </w:rPr>
        <w:t>Gastrulation</w:t>
      </w:r>
      <w:r w:rsidRPr="00301B95">
        <w:rPr>
          <w:rFonts w:asciiTheme="majorBidi" w:hAnsiTheme="majorBidi" w:cstheme="majorBidi"/>
          <w:b/>
          <w:bCs/>
          <w:sz w:val="28"/>
          <w:szCs w:val="28"/>
        </w:rPr>
        <w:t>: Formation of Embryonic Mesoderm and Endoderm</w:t>
      </w:r>
    </w:p>
    <w:p w:rsidR="00956184" w:rsidRPr="00301B95" w:rsidRDefault="00956184" w:rsidP="00956184">
      <w:pPr>
        <w:autoSpaceDE w:val="0"/>
        <w:autoSpaceDN w:val="0"/>
        <w:bidi w:val="0"/>
        <w:adjustRightInd w:val="0"/>
        <w:spacing w:after="0" w:line="360" w:lineRule="auto"/>
        <w:ind w:firstLine="720"/>
        <w:jc w:val="both"/>
        <w:rPr>
          <w:rFonts w:asciiTheme="majorBidi" w:hAnsiTheme="majorBidi" w:cstheme="majorBidi"/>
          <w:color w:val="000000"/>
          <w:sz w:val="28"/>
          <w:szCs w:val="28"/>
        </w:rPr>
      </w:pPr>
      <w:r w:rsidRPr="00301B95">
        <w:rPr>
          <w:rFonts w:asciiTheme="majorBidi" w:hAnsiTheme="majorBidi" w:cstheme="majorBidi"/>
          <w:color w:val="000000"/>
          <w:sz w:val="28"/>
          <w:szCs w:val="28"/>
        </w:rPr>
        <w:t xml:space="preserve">The most characteristic event occurring during the third week of gestation is </w:t>
      </w:r>
      <w:r w:rsidRPr="00301B95">
        <w:rPr>
          <w:rFonts w:asciiTheme="majorBidi" w:hAnsiTheme="majorBidi" w:cstheme="majorBidi"/>
          <w:b/>
          <w:bCs/>
          <w:color w:val="000000"/>
          <w:sz w:val="28"/>
          <w:szCs w:val="28"/>
        </w:rPr>
        <w:t xml:space="preserve">gastrulation, </w:t>
      </w:r>
      <w:r w:rsidRPr="00301B95">
        <w:rPr>
          <w:rFonts w:asciiTheme="majorBidi" w:hAnsiTheme="majorBidi" w:cstheme="majorBidi"/>
          <w:color w:val="000000"/>
          <w:sz w:val="28"/>
          <w:szCs w:val="28"/>
        </w:rPr>
        <w:t xml:space="preserve">the process that establishes all three </w:t>
      </w:r>
      <w:r w:rsidRPr="00301B95">
        <w:rPr>
          <w:rFonts w:asciiTheme="majorBidi" w:hAnsiTheme="majorBidi" w:cstheme="majorBidi"/>
          <w:b/>
          <w:bCs/>
          <w:color w:val="000000"/>
          <w:sz w:val="28"/>
          <w:szCs w:val="28"/>
        </w:rPr>
        <w:t xml:space="preserve">germ layers (ectoderm, mesoderm, </w:t>
      </w:r>
      <w:r w:rsidRPr="00301B95">
        <w:rPr>
          <w:rFonts w:asciiTheme="majorBidi" w:hAnsiTheme="majorBidi" w:cstheme="majorBidi"/>
          <w:color w:val="000000"/>
          <w:sz w:val="28"/>
          <w:szCs w:val="28"/>
        </w:rPr>
        <w:t xml:space="preserve">and </w:t>
      </w:r>
      <w:r w:rsidRPr="00301B95">
        <w:rPr>
          <w:rFonts w:asciiTheme="majorBidi" w:hAnsiTheme="majorBidi" w:cstheme="majorBidi"/>
          <w:b/>
          <w:bCs/>
          <w:color w:val="000000"/>
          <w:sz w:val="28"/>
          <w:szCs w:val="28"/>
        </w:rPr>
        <w:t xml:space="preserve">endoderm) </w:t>
      </w:r>
      <w:r w:rsidRPr="00301B95">
        <w:rPr>
          <w:rFonts w:asciiTheme="majorBidi" w:hAnsiTheme="majorBidi" w:cstheme="majorBidi"/>
          <w:color w:val="000000"/>
          <w:sz w:val="28"/>
          <w:szCs w:val="28"/>
        </w:rPr>
        <w:t xml:space="preserve">in the embryo. Gastrulation begins with formation of the </w:t>
      </w:r>
      <w:r w:rsidRPr="00301B95">
        <w:rPr>
          <w:rFonts w:asciiTheme="majorBidi" w:hAnsiTheme="majorBidi" w:cstheme="majorBidi"/>
          <w:b/>
          <w:bCs/>
          <w:color w:val="000000"/>
          <w:sz w:val="28"/>
          <w:szCs w:val="28"/>
        </w:rPr>
        <w:t xml:space="preserve">primitive streak </w:t>
      </w:r>
      <w:r w:rsidRPr="00301B95">
        <w:rPr>
          <w:rFonts w:asciiTheme="majorBidi" w:hAnsiTheme="majorBidi" w:cstheme="majorBidi"/>
          <w:color w:val="000000"/>
          <w:sz w:val="28"/>
          <w:szCs w:val="28"/>
        </w:rPr>
        <w:t xml:space="preserve">on the surface of the epiblast (Figs. 4.1). Initially, the streak is vaguely defined, but in a 15- to 16-day embryo, it is clearly visible as a narrow groove with slightly bulging regions on either side (Fig. 4.2). Cells of the epiblast migrate toward the </w:t>
      </w:r>
      <w:r w:rsidRPr="00301B95">
        <w:rPr>
          <w:rFonts w:asciiTheme="majorBidi" w:hAnsiTheme="majorBidi" w:cstheme="majorBidi"/>
          <w:color w:val="000000"/>
          <w:sz w:val="28"/>
          <w:szCs w:val="28"/>
        </w:rPr>
        <w:lastRenderedPageBreak/>
        <w:t xml:space="preserve">primitive streak (Fig. 4.3). This inward movement is known as </w:t>
      </w:r>
      <w:r w:rsidRPr="00301B95">
        <w:rPr>
          <w:rFonts w:asciiTheme="majorBidi" w:hAnsiTheme="majorBidi" w:cstheme="majorBidi"/>
          <w:b/>
          <w:bCs/>
          <w:color w:val="000000"/>
          <w:sz w:val="28"/>
          <w:szCs w:val="28"/>
        </w:rPr>
        <w:t xml:space="preserve">invagination. </w:t>
      </w:r>
      <w:r w:rsidRPr="00301B95">
        <w:rPr>
          <w:rFonts w:asciiTheme="majorBidi" w:hAnsiTheme="majorBidi" w:cstheme="majorBidi"/>
          <w:color w:val="000000"/>
          <w:sz w:val="28"/>
          <w:szCs w:val="28"/>
        </w:rPr>
        <w:t xml:space="preserve">Once the cells have invaginated, some displace the hypoblast, creating the embryonic </w:t>
      </w:r>
      <w:r w:rsidRPr="00301B95">
        <w:rPr>
          <w:rFonts w:asciiTheme="majorBidi" w:hAnsiTheme="majorBidi" w:cstheme="majorBidi"/>
          <w:b/>
          <w:bCs/>
          <w:color w:val="000000"/>
          <w:sz w:val="28"/>
          <w:szCs w:val="28"/>
        </w:rPr>
        <w:t xml:space="preserve">endoderm, </w:t>
      </w:r>
      <w:r w:rsidRPr="00301B95">
        <w:rPr>
          <w:rFonts w:asciiTheme="majorBidi" w:hAnsiTheme="majorBidi" w:cstheme="majorBidi"/>
          <w:color w:val="000000"/>
          <w:sz w:val="28"/>
          <w:szCs w:val="28"/>
        </w:rPr>
        <w:t xml:space="preserve">and others come to lie between the epiblast and newly created endoderm to form </w:t>
      </w:r>
      <w:r w:rsidRPr="00301B95">
        <w:rPr>
          <w:rFonts w:asciiTheme="majorBidi" w:hAnsiTheme="majorBidi" w:cstheme="majorBidi"/>
          <w:b/>
          <w:bCs/>
          <w:color w:val="000000"/>
          <w:sz w:val="28"/>
          <w:szCs w:val="28"/>
        </w:rPr>
        <w:t>mesoderm.</w:t>
      </w:r>
      <w:r w:rsidRPr="00301B95">
        <w:rPr>
          <w:rFonts w:asciiTheme="majorBidi" w:hAnsiTheme="majorBidi" w:cstheme="majorBidi"/>
          <w:color w:val="000000"/>
          <w:sz w:val="28"/>
          <w:szCs w:val="28"/>
        </w:rPr>
        <w:t xml:space="preserve"> Cells remaining in the epiblast then form </w:t>
      </w:r>
      <w:r w:rsidRPr="00301B95">
        <w:rPr>
          <w:rFonts w:asciiTheme="majorBidi" w:hAnsiTheme="majorBidi" w:cstheme="majorBidi"/>
          <w:b/>
          <w:bCs/>
          <w:color w:val="000000"/>
          <w:sz w:val="28"/>
          <w:szCs w:val="28"/>
        </w:rPr>
        <w:t xml:space="preserve">ectoderm. </w:t>
      </w:r>
      <w:r w:rsidRPr="00301B95">
        <w:rPr>
          <w:rFonts w:asciiTheme="majorBidi" w:hAnsiTheme="majorBidi" w:cstheme="majorBidi"/>
          <w:color w:val="000000"/>
          <w:sz w:val="28"/>
          <w:szCs w:val="28"/>
        </w:rPr>
        <w:t>Thus, the epiblast, through the process of gastrulation, is the source of all of the germ layers (Fig. 4.3</w:t>
      </w:r>
      <w:r w:rsidRPr="00301B95">
        <w:rPr>
          <w:rFonts w:asciiTheme="majorBidi" w:hAnsiTheme="majorBidi" w:cstheme="majorBidi"/>
          <w:i/>
          <w:iCs/>
          <w:color w:val="000000"/>
          <w:sz w:val="28"/>
          <w:szCs w:val="28"/>
        </w:rPr>
        <w:t>B</w:t>
      </w:r>
      <w:r w:rsidRPr="00301B95">
        <w:rPr>
          <w:rFonts w:asciiTheme="majorBidi" w:hAnsiTheme="majorBidi" w:cstheme="majorBidi"/>
          <w:color w:val="000000"/>
          <w:sz w:val="28"/>
          <w:szCs w:val="28"/>
        </w:rPr>
        <w:t>), and cells in these layers will give rise to all of the tissues and organs in the embryo.</w:t>
      </w: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r w:rsidRPr="00301B95">
        <w:rPr>
          <w:rFonts w:asciiTheme="majorBidi" w:hAnsiTheme="majorBidi" w:cstheme="majorBidi"/>
          <w:b/>
          <w:bCs/>
          <w:noProof/>
          <w:sz w:val="28"/>
          <w:szCs w:val="28"/>
        </w:rPr>
        <w:drawing>
          <wp:anchor distT="0" distB="0" distL="114300" distR="114300" simplePos="0" relativeHeight="251677696" behindDoc="0" locked="0" layoutInCell="1" allowOverlap="1">
            <wp:simplePos x="0" y="0"/>
            <wp:positionH relativeFrom="column">
              <wp:posOffset>201295</wp:posOffset>
            </wp:positionH>
            <wp:positionV relativeFrom="paragraph">
              <wp:posOffset>73660</wp:posOffset>
            </wp:positionV>
            <wp:extent cx="5561965" cy="2469515"/>
            <wp:effectExtent l="19050" t="0" r="63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4345" t="64390"/>
                    <a:stretch>
                      <a:fillRect/>
                    </a:stretch>
                  </pic:blipFill>
                  <pic:spPr bwMode="auto">
                    <a:xfrm>
                      <a:off x="0" y="0"/>
                      <a:ext cx="5561965" cy="2469515"/>
                    </a:xfrm>
                    <a:prstGeom prst="rect">
                      <a:avLst/>
                    </a:prstGeom>
                    <a:noFill/>
                    <a:ln w="9525">
                      <a:noFill/>
                      <a:miter lim="800000"/>
                      <a:headEnd/>
                      <a:tailEnd/>
                    </a:ln>
                  </pic:spPr>
                </pic:pic>
              </a:graphicData>
            </a:graphic>
          </wp:anchor>
        </w:drawing>
      </w: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b/>
          <w:bCs/>
          <w:sz w:val="28"/>
          <w:szCs w:val="28"/>
        </w:rPr>
      </w:pPr>
    </w:p>
    <w:p w:rsidR="00956184" w:rsidRPr="00301B95" w:rsidRDefault="00956184" w:rsidP="00956184">
      <w:pPr>
        <w:autoSpaceDE w:val="0"/>
        <w:autoSpaceDN w:val="0"/>
        <w:bidi w:val="0"/>
        <w:adjustRightInd w:val="0"/>
        <w:spacing w:after="0" w:line="360" w:lineRule="auto"/>
        <w:rPr>
          <w:rFonts w:asciiTheme="majorBidi" w:hAnsiTheme="majorBidi" w:cstheme="majorBidi"/>
          <w:sz w:val="28"/>
          <w:szCs w:val="28"/>
        </w:rPr>
      </w:pPr>
    </w:p>
    <w:p w:rsidR="00956184" w:rsidRPr="00301B95" w:rsidRDefault="00956184" w:rsidP="00956184">
      <w:pPr>
        <w:autoSpaceDE w:val="0"/>
        <w:autoSpaceDN w:val="0"/>
        <w:bidi w:val="0"/>
        <w:adjustRightInd w:val="0"/>
        <w:spacing w:after="0" w:line="360" w:lineRule="auto"/>
        <w:ind w:firstLine="720"/>
        <w:jc w:val="both"/>
        <w:rPr>
          <w:rFonts w:asciiTheme="majorBidi" w:hAnsiTheme="majorBidi" w:cstheme="majorBidi"/>
          <w:sz w:val="28"/>
          <w:szCs w:val="28"/>
          <w:lang w:bidi="ar-IQ"/>
        </w:rPr>
      </w:pPr>
      <w:r w:rsidRPr="00301B95">
        <w:rPr>
          <w:rFonts w:asciiTheme="majorBidi" w:hAnsiTheme="majorBidi" w:cstheme="majorBidi"/>
          <w:sz w:val="28"/>
          <w:szCs w:val="28"/>
        </w:rPr>
        <w:t xml:space="preserve">In the cephalic direction, they pass on each side of the </w:t>
      </w:r>
      <w:r w:rsidRPr="00301B95">
        <w:rPr>
          <w:rFonts w:asciiTheme="majorBidi" w:hAnsiTheme="majorBidi" w:cstheme="majorBidi"/>
          <w:b/>
          <w:bCs/>
          <w:sz w:val="28"/>
          <w:szCs w:val="28"/>
        </w:rPr>
        <w:t xml:space="preserve">prechordal plate. </w:t>
      </w:r>
      <w:r w:rsidRPr="00301B95">
        <w:rPr>
          <w:rFonts w:asciiTheme="majorBidi" w:hAnsiTheme="majorBidi" w:cstheme="majorBidi"/>
          <w:sz w:val="28"/>
          <w:szCs w:val="28"/>
        </w:rPr>
        <w:t xml:space="preserve">The prechordal plate itself forms between the tip of the notochord and the </w:t>
      </w:r>
      <w:r w:rsidRPr="00301B95">
        <w:rPr>
          <w:rFonts w:asciiTheme="majorBidi" w:hAnsiTheme="majorBidi" w:cstheme="majorBidi"/>
          <w:b/>
          <w:bCs/>
          <w:sz w:val="28"/>
          <w:szCs w:val="28"/>
        </w:rPr>
        <w:t>buccopharyngeal membrane</w:t>
      </w:r>
      <w:r w:rsidRPr="00301B95">
        <w:rPr>
          <w:rFonts w:asciiTheme="majorBidi" w:hAnsiTheme="majorBidi" w:cstheme="majorBidi"/>
          <w:sz w:val="28"/>
          <w:szCs w:val="28"/>
        </w:rPr>
        <w:t xml:space="preserve"> and is derived from some of the first cells that migrate through the node in a cephalic direction. </w:t>
      </w:r>
    </w:p>
    <w:p w:rsidR="00956184" w:rsidRDefault="00956184" w:rsidP="00956184">
      <w:pPr>
        <w:bidi w:val="0"/>
        <w:spacing w:after="0" w:line="360" w:lineRule="auto"/>
        <w:rPr>
          <w:rFonts w:asciiTheme="majorBidi" w:hAnsiTheme="majorBidi" w:cstheme="majorBidi"/>
          <w:sz w:val="28"/>
          <w:szCs w:val="28"/>
          <w:lang w:bidi="ar-IQ"/>
        </w:rPr>
      </w:pPr>
      <w:r w:rsidRPr="00301B95">
        <w:rPr>
          <w:rFonts w:asciiTheme="majorBidi" w:hAnsiTheme="majorBidi" w:cstheme="majorBidi"/>
          <w:sz w:val="28"/>
          <w:szCs w:val="28"/>
          <w:lang w:bidi="ar-IQ"/>
        </w:rPr>
        <w:t>Figure 5.2 A. Dorsal side of the germ disc from a 16-day embryo indicating the movement of surface epiblast cells (solid black lines) through the primitive streak and node and the subsequent migration of cells between the hypoblast and epiblast (broken lines). B. Cross section through the cranial region of the streak at 15 days showing invagination of epiblast cells. The first cells to move inward displace the hypoblast to create the definitive endoderm. Once definitive endoderm is established, inwardly moving epiblast forms mesoderm.</w:t>
      </w:r>
    </w:p>
    <w:p w:rsidR="00956184" w:rsidRPr="00301B95" w:rsidRDefault="00956184" w:rsidP="00956184">
      <w:pPr>
        <w:pStyle w:val="ListParagraph"/>
        <w:numPr>
          <w:ilvl w:val="0"/>
          <w:numId w:val="7"/>
        </w:numPr>
        <w:autoSpaceDE w:val="0"/>
        <w:autoSpaceDN w:val="0"/>
        <w:bidi w:val="0"/>
        <w:adjustRightInd w:val="0"/>
        <w:spacing w:after="0" w:line="360" w:lineRule="auto"/>
        <w:jc w:val="both"/>
        <w:rPr>
          <w:rFonts w:asciiTheme="majorBidi" w:hAnsiTheme="majorBidi" w:cstheme="majorBidi"/>
          <w:b/>
          <w:bCs/>
          <w:sz w:val="28"/>
          <w:szCs w:val="28"/>
        </w:rPr>
      </w:pPr>
      <w:r w:rsidRPr="00301B95">
        <w:rPr>
          <w:rFonts w:asciiTheme="majorBidi" w:hAnsiTheme="majorBidi" w:cstheme="majorBidi"/>
          <w:b/>
          <w:bCs/>
          <w:sz w:val="28"/>
          <w:szCs w:val="28"/>
        </w:rPr>
        <w:t>Formation of the Notochord (</w:t>
      </w:r>
      <w:r w:rsidRPr="00301B95">
        <w:rPr>
          <w:rFonts w:asciiTheme="majorBidi" w:hAnsiTheme="majorBidi" w:cstheme="majorBidi"/>
          <w:sz w:val="28"/>
          <w:szCs w:val="28"/>
          <w:u w:val="single"/>
        </w:rPr>
        <w:t>please see the figures and the images in the book</w:t>
      </w:r>
      <w:r w:rsidRPr="00301B95">
        <w:rPr>
          <w:rFonts w:asciiTheme="majorBidi" w:hAnsiTheme="majorBidi" w:cstheme="majorBidi"/>
          <w:b/>
          <w:bCs/>
          <w:sz w:val="28"/>
          <w:szCs w:val="28"/>
        </w:rPr>
        <w:t>)</w:t>
      </w:r>
    </w:p>
    <w:p w:rsidR="00956184" w:rsidRPr="00301B95" w:rsidRDefault="00956184" w:rsidP="00956184">
      <w:pPr>
        <w:autoSpaceDE w:val="0"/>
        <w:autoSpaceDN w:val="0"/>
        <w:bidi w:val="0"/>
        <w:adjustRightInd w:val="0"/>
        <w:spacing w:after="0" w:line="360" w:lineRule="auto"/>
        <w:ind w:firstLine="360"/>
        <w:jc w:val="both"/>
        <w:rPr>
          <w:rFonts w:asciiTheme="majorBidi" w:hAnsiTheme="majorBidi" w:cstheme="majorBidi"/>
          <w:color w:val="000000"/>
          <w:sz w:val="28"/>
          <w:szCs w:val="28"/>
        </w:rPr>
      </w:pPr>
      <w:r>
        <w:rPr>
          <w:rFonts w:asciiTheme="majorBidi" w:hAnsiTheme="majorBidi" w:cstheme="majorBidi"/>
          <w:b/>
          <w:bCs/>
          <w:noProof/>
          <w:sz w:val="28"/>
          <w:szCs w:val="28"/>
        </w:rPr>
        <w:lastRenderedPageBreak/>
        <w:drawing>
          <wp:anchor distT="0" distB="0" distL="114300" distR="114300" simplePos="0" relativeHeight="251678720" behindDoc="0" locked="0" layoutInCell="1" allowOverlap="1">
            <wp:simplePos x="0" y="0"/>
            <wp:positionH relativeFrom="column">
              <wp:posOffset>819416</wp:posOffset>
            </wp:positionH>
            <wp:positionV relativeFrom="paragraph">
              <wp:posOffset>3660524</wp:posOffset>
            </wp:positionV>
            <wp:extent cx="5073945" cy="5305646"/>
            <wp:effectExtent l="1905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073945" cy="5305646"/>
                    </a:xfrm>
                    <a:prstGeom prst="rect">
                      <a:avLst/>
                    </a:prstGeom>
                    <a:noFill/>
                    <a:ln w="9525">
                      <a:noFill/>
                      <a:miter lim="800000"/>
                      <a:headEnd/>
                      <a:tailEnd/>
                    </a:ln>
                  </pic:spPr>
                </pic:pic>
              </a:graphicData>
            </a:graphic>
          </wp:anchor>
        </w:drawing>
      </w:r>
      <w:r w:rsidRPr="00301B95">
        <w:rPr>
          <w:rFonts w:asciiTheme="majorBidi" w:hAnsiTheme="majorBidi" w:cstheme="majorBidi"/>
          <w:b/>
          <w:bCs/>
          <w:sz w:val="28"/>
          <w:szCs w:val="28"/>
        </w:rPr>
        <w:t xml:space="preserve">Prenotochordal cells </w:t>
      </w:r>
      <w:r w:rsidRPr="00301B95">
        <w:rPr>
          <w:rFonts w:asciiTheme="majorBidi" w:hAnsiTheme="majorBidi" w:cstheme="majorBidi"/>
          <w:sz w:val="28"/>
          <w:szCs w:val="28"/>
        </w:rPr>
        <w:t xml:space="preserve">invaginating in the primitive pit move forward cephalad until they reach the </w:t>
      </w:r>
      <w:r w:rsidRPr="00301B95">
        <w:rPr>
          <w:rFonts w:asciiTheme="majorBidi" w:hAnsiTheme="majorBidi" w:cstheme="majorBidi"/>
          <w:b/>
          <w:bCs/>
          <w:sz w:val="28"/>
          <w:szCs w:val="28"/>
        </w:rPr>
        <w:t xml:space="preserve">prechordal plate </w:t>
      </w:r>
      <w:r w:rsidRPr="00301B95">
        <w:rPr>
          <w:rFonts w:asciiTheme="majorBidi" w:hAnsiTheme="majorBidi" w:cstheme="majorBidi"/>
          <w:sz w:val="28"/>
          <w:szCs w:val="28"/>
        </w:rPr>
        <w:t xml:space="preserve">(Fig. 4.4). These prenotochordal cells become intercalated in the hypoblast so that, for a short time, the midline of the embryo consists of two cell layers that form the </w:t>
      </w:r>
      <w:r w:rsidRPr="00301B95">
        <w:rPr>
          <w:rFonts w:asciiTheme="majorBidi" w:hAnsiTheme="majorBidi" w:cstheme="majorBidi"/>
          <w:b/>
          <w:bCs/>
          <w:sz w:val="28"/>
          <w:szCs w:val="28"/>
        </w:rPr>
        <w:t xml:space="preserve">notochordal plate </w:t>
      </w:r>
      <w:r w:rsidRPr="00301B95">
        <w:rPr>
          <w:rFonts w:asciiTheme="majorBidi" w:hAnsiTheme="majorBidi" w:cstheme="majorBidi"/>
          <w:sz w:val="28"/>
          <w:szCs w:val="28"/>
        </w:rPr>
        <w:t xml:space="preserve">(Fig. 4.4, </w:t>
      </w:r>
      <w:r w:rsidRPr="00301B95">
        <w:rPr>
          <w:rFonts w:asciiTheme="majorBidi" w:hAnsiTheme="majorBidi" w:cstheme="majorBidi"/>
          <w:i/>
          <w:iCs/>
          <w:sz w:val="28"/>
          <w:szCs w:val="28"/>
        </w:rPr>
        <w:t>B</w:t>
      </w:r>
      <w:r w:rsidRPr="00301B95">
        <w:rPr>
          <w:rFonts w:asciiTheme="majorBidi" w:hAnsiTheme="majorBidi" w:cstheme="majorBidi"/>
          <w:sz w:val="28"/>
          <w:szCs w:val="28"/>
        </w:rPr>
        <w:t xml:space="preserve"> and </w:t>
      </w:r>
      <w:r w:rsidRPr="00301B95">
        <w:rPr>
          <w:rFonts w:asciiTheme="majorBidi" w:hAnsiTheme="majorBidi" w:cstheme="majorBidi"/>
          <w:i/>
          <w:iCs/>
          <w:sz w:val="28"/>
          <w:szCs w:val="28"/>
        </w:rPr>
        <w:t xml:space="preserve">C </w:t>
      </w:r>
      <w:r w:rsidRPr="00301B95">
        <w:rPr>
          <w:rFonts w:asciiTheme="majorBidi" w:hAnsiTheme="majorBidi" w:cstheme="majorBidi"/>
          <w:sz w:val="28"/>
          <w:szCs w:val="28"/>
        </w:rPr>
        <w:t xml:space="preserve">). As the hypoblast is replaced by endoderm cells moving in at the streak, cells of the notochordal plate proliferate and detach from the endoderm. </w:t>
      </w:r>
      <w:r w:rsidRPr="00301B95">
        <w:rPr>
          <w:rFonts w:asciiTheme="majorBidi" w:hAnsiTheme="majorBidi" w:cstheme="majorBidi"/>
          <w:color w:val="000000"/>
          <w:sz w:val="28"/>
          <w:szCs w:val="28"/>
        </w:rPr>
        <w:t xml:space="preserve">Because elongation of the notochord is a dynamic process, the cranial end forms first, and caudal regions are added as the primitive streak assumes a more caudal position. The notochord and prenotochordal cells extend cranially to the prechordal plate (an area just caudal to the buccopharyngeal membrane) and caudally to the primitive pit. At the point where the pit forms an indentation </w:t>
      </w:r>
      <w:r w:rsidRPr="00301B95">
        <w:rPr>
          <w:rFonts w:asciiTheme="majorBidi" w:hAnsiTheme="majorBidi" w:cstheme="majorBidi"/>
          <w:sz w:val="28"/>
          <w:szCs w:val="28"/>
        </w:rPr>
        <w:t xml:space="preserve">in the epiblast, the </w:t>
      </w:r>
      <w:r w:rsidRPr="00301B95">
        <w:rPr>
          <w:rFonts w:asciiTheme="majorBidi" w:hAnsiTheme="majorBidi" w:cstheme="majorBidi"/>
          <w:b/>
          <w:bCs/>
          <w:sz w:val="28"/>
          <w:szCs w:val="28"/>
        </w:rPr>
        <w:t xml:space="preserve">neurenteric canal </w:t>
      </w:r>
      <w:r w:rsidRPr="00301B95">
        <w:rPr>
          <w:rFonts w:asciiTheme="majorBidi" w:hAnsiTheme="majorBidi" w:cstheme="majorBidi"/>
          <w:sz w:val="28"/>
          <w:szCs w:val="28"/>
        </w:rPr>
        <w:t>temporarily connects the amniotic and yolk sac cavities (Fig. 4.4</w:t>
      </w:r>
      <w:r w:rsidRPr="00301B95">
        <w:rPr>
          <w:rFonts w:asciiTheme="majorBidi" w:hAnsiTheme="majorBidi" w:cstheme="majorBidi"/>
          <w:i/>
          <w:iCs/>
          <w:sz w:val="28"/>
          <w:szCs w:val="28"/>
        </w:rPr>
        <w:t>A</w:t>
      </w:r>
      <w:r w:rsidRPr="00301B95">
        <w:rPr>
          <w:rFonts w:asciiTheme="majorBidi" w:hAnsiTheme="majorBidi" w:cstheme="majorBidi"/>
          <w:sz w:val="28"/>
          <w:szCs w:val="28"/>
        </w:rPr>
        <w:t>).</w:t>
      </w:r>
    </w:p>
    <w:p w:rsidR="00956184" w:rsidRPr="00301B95" w:rsidRDefault="00956184" w:rsidP="00956184">
      <w:pPr>
        <w:autoSpaceDE w:val="0"/>
        <w:autoSpaceDN w:val="0"/>
        <w:bidi w:val="0"/>
        <w:adjustRightInd w:val="0"/>
        <w:spacing w:after="0" w:line="360" w:lineRule="auto"/>
        <w:rPr>
          <w:rFonts w:asciiTheme="majorBidi" w:hAnsiTheme="majorBidi" w:cstheme="majorBidi"/>
          <w:b/>
          <w:bCs/>
          <w:color w:val="1AB3FF"/>
          <w:sz w:val="28"/>
          <w:szCs w:val="28"/>
        </w:rPr>
      </w:pPr>
    </w:p>
    <w:p w:rsidR="00956184" w:rsidRPr="00301B95" w:rsidRDefault="00956184" w:rsidP="00956184">
      <w:pPr>
        <w:bidi w:val="0"/>
        <w:spacing w:line="360" w:lineRule="auto"/>
        <w:ind w:firstLine="720"/>
        <w:jc w:val="both"/>
        <w:rPr>
          <w:rFonts w:asciiTheme="majorBidi" w:hAnsiTheme="majorBidi" w:cstheme="majorBidi"/>
          <w:sz w:val="28"/>
          <w:szCs w:val="28"/>
          <w:lang w:bidi="ar-IQ"/>
        </w:rPr>
      </w:pPr>
    </w:p>
    <w:p w:rsidR="00956184" w:rsidRPr="00301B95" w:rsidRDefault="00956184" w:rsidP="00956184">
      <w:pPr>
        <w:bidi w:val="0"/>
        <w:spacing w:line="360" w:lineRule="auto"/>
        <w:rPr>
          <w:rFonts w:asciiTheme="majorBidi" w:hAnsiTheme="majorBidi" w:cstheme="majorBidi"/>
          <w:sz w:val="28"/>
          <w:szCs w:val="28"/>
          <w:lang w:bidi="ar-IQ"/>
        </w:rPr>
      </w:pPr>
    </w:p>
    <w:p w:rsidR="00956184" w:rsidRPr="00301B95" w:rsidRDefault="00956184" w:rsidP="00956184">
      <w:pPr>
        <w:bidi w:val="0"/>
        <w:spacing w:line="360" w:lineRule="auto"/>
        <w:rPr>
          <w:rFonts w:asciiTheme="majorBidi" w:hAnsiTheme="majorBidi" w:cstheme="majorBidi"/>
          <w:sz w:val="28"/>
          <w:szCs w:val="28"/>
          <w:lang w:bidi="ar-IQ"/>
        </w:rPr>
      </w:pPr>
    </w:p>
    <w:p w:rsidR="00956184" w:rsidRPr="00301B95" w:rsidRDefault="00956184" w:rsidP="00956184">
      <w:pPr>
        <w:bidi w:val="0"/>
        <w:spacing w:line="360" w:lineRule="auto"/>
        <w:rPr>
          <w:rFonts w:asciiTheme="majorBidi" w:hAnsiTheme="majorBidi" w:cstheme="majorBidi"/>
          <w:sz w:val="28"/>
          <w:szCs w:val="28"/>
          <w:lang w:bidi="ar-IQ"/>
        </w:rPr>
      </w:pPr>
    </w:p>
    <w:p w:rsidR="00956184" w:rsidRPr="00301B95" w:rsidRDefault="00956184" w:rsidP="00956184">
      <w:pPr>
        <w:bidi w:val="0"/>
        <w:spacing w:line="360" w:lineRule="auto"/>
        <w:rPr>
          <w:rFonts w:asciiTheme="majorBidi" w:hAnsiTheme="majorBidi" w:cstheme="majorBidi"/>
          <w:sz w:val="28"/>
          <w:szCs w:val="28"/>
          <w:lang w:bidi="ar-IQ"/>
        </w:rPr>
      </w:pPr>
    </w:p>
    <w:p w:rsidR="00956184" w:rsidRPr="00301B95" w:rsidRDefault="00956184" w:rsidP="00956184">
      <w:pPr>
        <w:bidi w:val="0"/>
        <w:spacing w:line="360" w:lineRule="auto"/>
        <w:rPr>
          <w:rFonts w:asciiTheme="majorBidi" w:hAnsiTheme="majorBidi" w:cstheme="majorBidi"/>
          <w:sz w:val="28"/>
          <w:szCs w:val="28"/>
          <w:lang w:bidi="ar-IQ"/>
        </w:rPr>
      </w:pPr>
    </w:p>
    <w:p w:rsidR="00956184" w:rsidRPr="00301B95" w:rsidRDefault="00956184" w:rsidP="00956184">
      <w:pPr>
        <w:bidi w:val="0"/>
        <w:spacing w:line="360" w:lineRule="auto"/>
        <w:rPr>
          <w:rFonts w:asciiTheme="majorBidi" w:hAnsiTheme="majorBidi" w:cstheme="majorBidi"/>
          <w:sz w:val="28"/>
          <w:szCs w:val="28"/>
          <w:lang w:bidi="ar-IQ"/>
        </w:rPr>
      </w:pPr>
    </w:p>
    <w:p w:rsidR="00956184" w:rsidRDefault="00956184" w:rsidP="00956184">
      <w:pPr>
        <w:autoSpaceDE w:val="0"/>
        <w:autoSpaceDN w:val="0"/>
        <w:bidi w:val="0"/>
        <w:adjustRightInd w:val="0"/>
        <w:spacing w:after="0" w:line="360" w:lineRule="auto"/>
        <w:jc w:val="both"/>
        <w:rPr>
          <w:rFonts w:asciiTheme="majorBidi" w:hAnsiTheme="majorBidi" w:cstheme="majorBidi"/>
          <w:b/>
          <w:bCs/>
          <w:sz w:val="28"/>
          <w:szCs w:val="28"/>
        </w:rPr>
      </w:pPr>
    </w:p>
    <w:p w:rsidR="00956184" w:rsidRDefault="00956184" w:rsidP="00956184">
      <w:pPr>
        <w:autoSpaceDE w:val="0"/>
        <w:autoSpaceDN w:val="0"/>
        <w:bidi w:val="0"/>
        <w:adjustRightInd w:val="0"/>
        <w:spacing w:after="0" w:line="360" w:lineRule="auto"/>
        <w:jc w:val="both"/>
        <w:rPr>
          <w:rFonts w:asciiTheme="majorBidi" w:hAnsiTheme="majorBidi" w:cstheme="majorBidi"/>
          <w:b/>
          <w:bCs/>
          <w:sz w:val="28"/>
          <w:szCs w:val="28"/>
        </w:rPr>
      </w:pPr>
    </w:p>
    <w:p w:rsidR="00956184" w:rsidRDefault="00956184" w:rsidP="00956184">
      <w:pPr>
        <w:autoSpaceDE w:val="0"/>
        <w:autoSpaceDN w:val="0"/>
        <w:bidi w:val="0"/>
        <w:adjustRightInd w:val="0"/>
        <w:spacing w:after="0" w:line="360" w:lineRule="auto"/>
        <w:jc w:val="both"/>
        <w:rPr>
          <w:rFonts w:asciiTheme="majorBidi" w:hAnsiTheme="majorBidi" w:cstheme="majorBidi"/>
          <w:b/>
          <w:bCs/>
          <w:sz w:val="28"/>
          <w:szCs w:val="28"/>
        </w:rPr>
      </w:pPr>
    </w:p>
    <w:p w:rsidR="00956184" w:rsidRDefault="00956184" w:rsidP="00956184">
      <w:pPr>
        <w:autoSpaceDE w:val="0"/>
        <w:autoSpaceDN w:val="0"/>
        <w:bidi w:val="0"/>
        <w:adjustRightInd w:val="0"/>
        <w:spacing w:after="0" w:line="360" w:lineRule="auto"/>
        <w:jc w:val="both"/>
        <w:rPr>
          <w:rFonts w:asciiTheme="majorBidi" w:hAnsiTheme="majorBidi" w:cstheme="majorBidi"/>
          <w:b/>
          <w:bCs/>
          <w:sz w:val="28"/>
          <w:szCs w:val="28"/>
        </w:rPr>
      </w:pPr>
    </w:p>
    <w:p w:rsidR="00956184" w:rsidRPr="00956184" w:rsidRDefault="00956184" w:rsidP="00956184">
      <w:pPr>
        <w:autoSpaceDE w:val="0"/>
        <w:autoSpaceDN w:val="0"/>
        <w:bidi w:val="0"/>
        <w:adjustRightInd w:val="0"/>
        <w:spacing w:after="0" w:line="360" w:lineRule="auto"/>
        <w:jc w:val="both"/>
        <w:rPr>
          <w:rFonts w:asciiTheme="majorBidi" w:hAnsiTheme="majorBidi" w:cstheme="majorBidi"/>
          <w:b/>
          <w:bCs/>
          <w:sz w:val="28"/>
          <w:szCs w:val="28"/>
        </w:rPr>
      </w:pPr>
    </w:p>
    <w:p w:rsidR="00EC6376" w:rsidRPr="0035686C" w:rsidRDefault="00EC6376" w:rsidP="00956184">
      <w:pPr>
        <w:pStyle w:val="ListParagraph"/>
        <w:numPr>
          <w:ilvl w:val="0"/>
          <w:numId w:val="6"/>
        </w:numPr>
        <w:autoSpaceDE w:val="0"/>
        <w:autoSpaceDN w:val="0"/>
        <w:bidi w:val="0"/>
        <w:adjustRightInd w:val="0"/>
        <w:spacing w:after="0" w:line="360" w:lineRule="auto"/>
        <w:jc w:val="both"/>
        <w:rPr>
          <w:rFonts w:asciiTheme="majorBidi" w:hAnsiTheme="majorBidi" w:cstheme="majorBidi"/>
          <w:b/>
          <w:bCs/>
          <w:sz w:val="28"/>
          <w:szCs w:val="28"/>
        </w:rPr>
      </w:pPr>
      <w:r w:rsidRPr="0035686C">
        <w:rPr>
          <w:rFonts w:asciiTheme="majorBidi" w:hAnsiTheme="majorBidi" w:cstheme="majorBidi"/>
          <w:b/>
          <w:bCs/>
          <w:sz w:val="28"/>
          <w:szCs w:val="28"/>
        </w:rPr>
        <w:lastRenderedPageBreak/>
        <w:t>Uterus at Time of Implantation</w:t>
      </w:r>
    </w:p>
    <w:p w:rsidR="00EC6376" w:rsidRPr="0035686C" w:rsidRDefault="00EC6376" w:rsidP="00AE402B">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The wall of the uterus consists of three layers: (</w:t>
      </w:r>
      <w:r w:rsidRPr="0035686C">
        <w:rPr>
          <w:rFonts w:asciiTheme="majorBidi" w:hAnsiTheme="majorBidi" w:cstheme="majorBidi"/>
          <w:i/>
          <w:iCs/>
          <w:sz w:val="28"/>
          <w:szCs w:val="28"/>
        </w:rPr>
        <w:t>a</w:t>
      </w:r>
      <w:r w:rsidRPr="0035686C">
        <w:rPr>
          <w:rFonts w:asciiTheme="majorBidi" w:hAnsiTheme="majorBidi" w:cstheme="majorBidi"/>
          <w:sz w:val="28"/>
          <w:szCs w:val="28"/>
        </w:rPr>
        <w:t xml:space="preserve">) </w:t>
      </w:r>
      <w:r w:rsidRPr="0035686C">
        <w:rPr>
          <w:rFonts w:asciiTheme="majorBidi" w:hAnsiTheme="majorBidi" w:cstheme="majorBidi"/>
          <w:b/>
          <w:bCs/>
          <w:sz w:val="28"/>
          <w:szCs w:val="28"/>
        </w:rPr>
        <w:t xml:space="preserve">endometrium </w:t>
      </w:r>
      <w:r w:rsidRPr="0035686C">
        <w:rPr>
          <w:rFonts w:asciiTheme="majorBidi" w:hAnsiTheme="majorBidi" w:cstheme="majorBidi"/>
          <w:sz w:val="28"/>
          <w:szCs w:val="28"/>
        </w:rPr>
        <w:t>or mucosa lining the inside wall; (</w:t>
      </w:r>
      <w:r w:rsidRPr="0035686C">
        <w:rPr>
          <w:rFonts w:asciiTheme="majorBidi" w:hAnsiTheme="majorBidi" w:cstheme="majorBidi"/>
          <w:i/>
          <w:iCs/>
          <w:sz w:val="28"/>
          <w:szCs w:val="28"/>
        </w:rPr>
        <w:t>b</w:t>
      </w:r>
      <w:r w:rsidRPr="0035686C">
        <w:rPr>
          <w:rFonts w:asciiTheme="majorBidi" w:hAnsiTheme="majorBidi" w:cstheme="majorBidi"/>
          <w:sz w:val="28"/>
          <w:szCs w:val="28"/>
        </w:rPr>
        <w:t xml:space="preserve">) </w:t>
      </w:r>
      <w:r w:rsidRPr="0035686C">
        <w:rPr>
          <w:rFonts w:asciiTheme="majorBidi" w:hAnsiTheme="majorBidi" w:cstheme="majorBidi"/>
          <w:b/>
          <w:bCs/>
          <w:sz w:val="28"/>
          <w:szCs w:val="28"/>
        </w:rPr>
        <w:t xml:space="preserve">myometrium, </w:t>
      </w:r>
      <w:r w:rsidRPr="0035686C">
        <w:rPr>
          <w:rFonts w:asciiTheme="majorBidi" w:hAnsiTheme="majorBidi" w:cstheme="majorBidi"/>
          <w:sz w:val="28"/>
          <w:szCs w:val="28"/>
        </w:rPr>
        <w:t>a thick layer of smooth muscle; and (</w:t>
      </w:r>
      <w:r w:rsidRPr="0035686C">
        <w:rPr>
          <w:rFonts w:asciiTheme="majorBidi" w:hAnsiTheme="majorBidi" w:cstheme="majorBidi"/>
          <w:i/>
          <w:iCs/>
          <w:sz w:val="28"/>
          <w:szCs w:val="28"/>
        </w:rPr>
        <w:t>c</w:t>
      </w:r>
      <w:r w:rsidRPr="0035686C">
        <w:rPr>
          <w:rFonts w:asciiTheme="majorBidi" w:hAnsiTheme="majorBidi" w:cstheme="majorBidi"/>
          <w:sz w:val="28"/>
          <w:szCs w:val="28"/>
        </w:rPr>
        <w:t xml:space="preserve">) </w:t>
      </w:r>
      <w:r w:rsidRPr="0035686C">
        <w:rPr>
          <w:rFonts w:asciiTheme="majorBidi" w:hAnsiTheme="majorBidi" w:cstheme="majorBidi"/>
          <w:b/>
          <w:bCs/>
          <w:sz w:val="28"/>
          <w:szCs w:val="28"/>
        </w:rPr>
        <w:t xml:space="preserve">perimetrium, </w:t>
      </w:r>
      <w:r w:rsidRPr="0035686C">
        <w:rPr>
          <w:rFonts w:asciiTheme="majorBidi" w:hAnsiTheme="majorBidi" w:cstheme="majorBidi"/>
          <w:sz w:val="28"/>
          <w:szCs w:val="28"/>
        </w:rPr>
        <w:t xml:space="preserve">the peritoneal covering lining the outside wall (Fig. 2.11). From puberty (11–13 years) until menopause (45–50 years), the endometrium undergoes changes in a cycle of approximately 28 days under hormonal control by the ovary. During this menstrual cycle, the uterine endometrium passes through three stages, the </w:t>
      </w:r>
      <w:r w:rsidRPr="0035686C">
        <w:rPr>
          <w:rFonts w:asciiTheme="majorBidi" w:hAnsiTheme="majorBidi" w:cstheme="majorBidi"/>
          <w:b/>
          <w:bCs/>
          <w:sz w:val="28"/>
          <w:szCs w:val="28"/>
        </w:rPr>
        <w:t xml:space="preserve">follicular </w:t>
      </w:r>
      <w:r w:rsidRPr="0035686C">
        <w:rPr>
          <w:rFonts w:asciiTheme="majorBidi" w:hAnsiTheme="majorBidi" w:cstheme="majorBidi"/>
          <w:sz w:val="28"/>
          <w:szCs w:val="28"/>
        </w:rPr>
        <w:t xml:space="preserve">or </w:t>
      </w:r>
      <w:r w:rsidRPr="0035686C">
        <w:rPr>
          <w:rFonts w:asciiTheme="majorBidi" w:hAnsiTheme="majorBidi" w:cstheme="majorBidi"/>
          <w:b/>
          <w:bCs/>
          <w:sz w:val="28"/>
          <w:szCs w:val="28"/>
        </w:rPr>
        <w:t>proliferative phase,</w:t>
      </w:r>
      <w:r w:rsidRPr="0035686C">
        <w:rPr>
          <w:rFonts w:asciiTheme="majorBidi" w:hAnsiTheme="majorBidi" w:cstheme="majorBidi"/>
          <w:sz w:val="28"/>
          <w:szCs w:val="28"/>
        </w:rPr>
        <w:t xml:space="preserve"> the </w:t>
      </w:r>
      <w:r w:rsidRPr="0035686C">
        <w:rPr>
          <w:rFonts w:asciiTheme="majorBidi" w:hAnsiTheme="majorBidi" w:cstheme="majorBidi"/>
          <w:b/>
          <w:bCs/>
          <w:sz w:val="28"/>
          <w:szCs w:val="28"/>
        </w:rPr>
        <w:t xml:space="preserve">secretory </w:t>
      </w:r>
      <w:r w:rsidRPr="0035686C">
        <w:rPr>
          <w:rFonts w:asciiTheme="majorBidi" w:hAnsiTheme="majorBidi" w:cstheme="majorBidi"/>
          <w:sz w:val="28"/>
          <w:szCs w:val="28"/>
        </w:rPr>
        <w:t xml:space="preserve">or </w:t>
      </w:r>
      <w:r w:rsidRPr="0035686C">
        <w:rPr>
          <w:rFonts w:asciiTheme="majorBidi" w:hAnsiTheme="majorBidi" w:cstheme="majorBidi"/>
          <w:b/>
          <w:bCs/>
          <w:sz w:val="28"/>
          <w:szCs w:val="28"/>
        </w:rPr>
        <w:t xml:space="preserve">progestational phase, </w:t>
      </w:r>
      <w:r w:rsidRPr="0035686C">
        <w:rPr>
          <w:rFonts w:asciiTheme="majorBidi" w:hAnsiTheme="majorBidi" w:cstheme="majorBidi"/>
          <w:sz w:val="28"/>
          <w:szCs w:val="28"/>
        </w:rPr>
        <w:t xml:space="preserve">and the </w:t>
      </w:r>
      <w:r w:rsidRPr="0035686C">
        <w:rPr>
          <w:rFonts w:asciiTheme="majorBidi" w:hAnsiTheme="majorBidi" w:cstheme="majorBidi"/>
          <w:b/>
          <w:bCs/>
          <w:sz w:val="28"/>
          <w:szCs w:val="28"/>
        </w:rPr>
        <w:t xml:space="preserve">menstrual phase </w:t>
      </w:r>
      <w:r w:rsidRPr="0035686C">
        <w:rPr>
          <w:rFonts w:asciiTheme="majorBidi" w:hAnsiTheme="majorBidi" w:cstheme="majorBidi"/>
          <w:sz w:val="28"/>
          <w:szCs w:val="28"/>
        </w:rPr>
        <w:t xml:space="preserve">(Figs. 2.1The proliferative phase begins at the end of the menstrual phase, is under the influence of estrogen, and parallels growth of the ovarian follicles. The secretory phase begins approximately 2 to 3 days after ovulation in response to progesterone produced by the corpus luteum. If fertilization does not occur, shedding of the endometrium (compact and spongy layers) marks the beginning of the menstrual phase. If fertilization does occur, the endometrium assists in implantation and contributes to formation of the placenta. At the time of implantation, the mucosa of the uterus is in the secretory phase (Figs. 2.11 and 2.12), during which time uterine glands and arteries become coiled and the tissue becomes succulent. As a result, three distinct layers can be recognized in the endometrium: a superficial </w:t>
      </w:r>
      <w:r w:rsidRPr="0035686C">
        <w:rPr>
          <w:rFonts w:asciiTheme="majorBidi" w:hAnsiTheme="majorBidi" w:cstheme="majorBidi"/>
          <w:b/>
          <w:bCs/>
          <w:sz w:val="28"/>
          <w:szCs w:val="28"/>
        </w:rPr>
        <w:t xml:space="preserve">compact layer, </w:t>
      </w:r>
      <w:r w:rsidRPr="0035686C">
        <w:rPr>
          <w:rFonts w:asciiTheme="majorBidi" w:hAnsiTheme="majorBidi" w:cstheme="majorBidi"/>
          <w:sz w:val="28"/>
          <w:szCs w:val="28"/>
        </w:rPr>
        <w:t xml:space="preserve">an intermediate </w:t>
      </w:r>
      <w:r w:rsidRPr="0035686C">
        <w:rPr>
          <w:rFonts w:asciiTheme="majorBidi" w:hAnsiTheme="majorBidi" w:cstheme="majorBidi"/>
          <w:b/>
          <w:bCs/>
          <w:sz w:val="28"/>
          <w:szCs w:val="28"/>
        </w:rPr>
        <w:t xml:space="preserve">spongy layer, </w:t>
      </w:r>
      <w:r w:rsidRPr="0035686C">
        <w:rPr>
          <w:rFonts w:asciiTheme="majorBidi" w:hAnsiTheme="majorBidi" w:cstheme="majorBidi"/>
          <w:sz w:val="28"/>
          <w:szCs w:val="28"/>
        </w:rPr>
        <w:t xml:space="preserve">and a thin </w:t>
      </w:r>
      <w:r w:rsidRPr="0035686C">
        <w:rPr>
          <w:rFonts w:asciiTheme="majorBidi" w:hAnsiTheme="majorBidi" w:cstheme="majorBidi"/>
          <w:b/>
          <w:bCs/>
          <w:sz w:val="28"/>
          <w:szCs w:val="28"/>
        </w:rPr>
        <w:t xml:space="preserve">basal layer </w:t>
      </w:r>
      <w:r w:rsidRPr="0035686C">
        <w:rPr>
          <w:rFonts w:asciiTheme="majorBidi" w:hAnsiTheme="majorBidi" w:cstheme="majorBidi"/>
          <w:sz w:val="28"/>
          <w:szCs w:val="28"/>
        </w:rPr>
        <w:t>(Fig. 2.12). Normally, the human blastocyst implants in the endometrium along the anterior or posterior wall of the body of the uterus, where it becomes embedded between the openings of the glands (Fig. 2.12).</w:t>
      </w:r>
    </w:p>
    <w:p w:rsidR="00EC6376" w:rsidRPr="0035686C" w:rsidRDefault="00EC6376" w:rsidP="0035686C">
      <w:pPr>
        <w:autoSpaceDE w:val="0"/>
        <w:autoSpaceDN w:val="0"/>
        <w:bidi w:val="0"/>
        <w:adjustRightInd w:val="0"/>
        <w:spacing w:after="0" w:line="360" w:lineRule="auto"/>
        <w:ind w:firstLine="720"/>
        <w:jc w:val="both"/>
        <w:rPr>
          <w:rFonts w:asciiTheme="majorBidi" w:hAnsiTheme="majorBidi" w:cstheme="majorBidi"/>
          <w:sz w:val="28"/>
          <w:szCs w:val="28"/>
        </w:rPr>
      </w:pPr>
      <w:r w:rsidRPr="0035686C">
        <w:rPr>
          <w:rFonts w:asciiTheme="majorBidi" w:hAnsiTheme="majorBidi" w:cstheme="majorBidi"/>
          <w:sz w:val="28"/>
          <w:szCs w:val="28"/>
        </w:rPr>
        <w:t xml:space="preserve">If the oocyte is not fertilized, venules and sinusoidal spaces gradually become packed with blood cells, and an extensive diapedesis of blood into the tissue is seen. When the </w:t>
      </w:r>
      <w:r w:rsidRPr="0035686C">
        <w:rPr>
          <w:rFonts w:asciiTheme="majorBidi" w:hAnsiTheme="majorBidi" w:cstheme="majorBidi"/>
          <w:b/>
          <w:bCs/>
          <w:sz w:val="28"/>
          <w:szCs w:val="28"/>
        </w:rPr>
        <w:t xml:space="preserve">menstrual phase </w:t>
      </w:r>
      <w:r w:rsidRPr="0035686C">
        <w:rPr>
          <w:rFonts w:asciiTheme="majorBidi" w:hAnsiTheme="majorBidi" w:cstheme="majorBidi"/>
          <w:sz w:val="28"/>
          <w:szCs w:val="28"/>
        </w:rPr>
        <w:t xml:space="preserve">begins, blood escapes from superficial arteries, and small pieces of stroma and glands break away. During the following 3 or 4 days, the compact and spongy layers are expelled from the uterus, and the basal layer is the only part of the endometrium that is retained (Fig. 2.13). This layer, which is supplied by its own </w:t>
      </w:r>
      <w:r w:rsidRPr="0035686C">
        <w:rPr>
          <w:rFonts w:asciiTheme="majorBidi" w:hAnsiTheme="majorBidi" w:cstheme="majorBidi"/>
          <w:sz w:val="28"/>
          <w:szCs w:val="28"/>
        </w:rPr>
        <w:lastRenderedPageBreak/>
        <w:t xml:space="preserve">arteries, the </w:t>
      </w:r>
      <w:r w:rsidRPr="0035686C">
        <w:rPr>
          <w:rFonts w:asciiTheme="majorBidi" w:hAnsiTheme="majorBidi" w:cstheme="majorBidi"/>
          <w:b/>
          <w:bCs/>
          <w:sz w:val="28"/>
          <w:szCs w:val="28"/>
        </w:rPr>
        <w:t xml:space="preserve">basal arteries, </w:t>
      </w:r>
      <w:r w:rsidRPr="0035686C">
        <w:rPr>
          <w:rFonts w:asciiTheme="majorBidi" w:hAnsiTheme="majorBidi" w:cstheme="majorBidi"/>
          <w:sz w:val="28"/>
          <w:szCs w:val="28"/>
        </w:rPr>
        <w:t xml:space="preserve">functions as the regenerative layer in the rebuilding of glands and arteries in the </w:t>
      </w:r>
      <w:r w:rsidRPr="0035686C">
        <w:rPr>
          <w:rFonts w:asciiTheme="majorBidi" w:hAnsiTheme="majorBidi" w:cstheme="majorBidi"/>
          <w:b/>
          <w:bCs/>
          <w:sz w:val="28"/>
          <w:szCs w:val="28"/>
        </w:rPr>
        <w:t>proliferative phase</w:t>
      </w:r>
      <w:r w:rsidRPr="0035686C">
        <w:rPr>
          <w:rFonts w:asciiTheme="majorBidi" w:hAnsiTheme="majorBidi" w:cstheme="majorBidi"/>
          <w:sz w:val="28"/>
          <w:szCs w:val="28"/>
        </w:rPr>
        <w:t>.</w:t>
      </w:r>
    </w:p>
    <w:p w:rsidR="00EC6376" w:rsidRPr="0035686C" w:rsidRDefault="00EC6376" w:rsidP="0035686C">
      <w:pPr>
        <w:tabs>
          <w:tab w:val="left" w:pos="921"/>
        </w:tabs>
        <w:bidi w:val="0"/>
        <w:spacing w:line="360" w:lineRule="auto"/>
        <w:rPr>
          <w:rFonts w:asciiTheme="majorBidi" w:hAnsiTheme="majorBidi" w:cstheme="majorBidi"/>
          <w:sz w:val="28"/>
          <w:szCs w:val="28"/>
          <w:lang w:bidi="ar-IQ"/>
        </w:rPr>
      </w:pPr>
    </w:p>
    <w:p w:rsidR="00C43F9E" w:rsidRPr="0035686C" w:rsidRDefault="00C43F9E" w:rsidP="0035686C">
      <w:pPr>
        <w:tabs>
          <w:tab w:val="left" w:pos="921"/>
        </w:tabs>
        <w:bidi w:val="0"/>
        <w:spacing w:line="360" w:lineRule="auto"/>
        <w:rPr>
          <w:rFonts w:asciiTheme="majorBidi" w:hAnsiTheme="majorBidi" w:cstheme="majorBidi"/>
          <w:sz w:val="28"/>
          <w:szCs w:val="28"/>
          <w:lang w:bidi="ar-IQ"/>
        </w:rPr>
      </w:pPr>
    </w:p>
    <w:sectPr w:rsidR="00C43F9E" w:rsidRPr="0035686C" w:rsidSect="008D08D2">
      <w:footerReference w:type="default" r:id="rId14"/>
      <w:pgSz w:w="12240" w:h="15840"/>
      <w:pgMar w:top="1134"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FC7" w:rsidRDefault="00D16FC7" w:rsidP="00B2110A">
      <w:pPr>
        <w:spacing w:after="0" w:line="240" w:lineRule="auto"/>
      </w:pPr>
      <w:r>
        <w:separator/>
      </w:r>
    </w:p>
  </w:endnote>
  <w:endnote w:type="continuationSeparator" w:id="1">
    <w:p w:rsidR="00D16FC7" w:rsidRDefault="00D16FC7" w:rsidP="00B211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Usherwood-Bold">
    <w:panose1 w:val="00000000000000000000"/>
    <w:charset w:val="B2"/>
    <w:family w:val="auto"/>
    <w:notTrueType/>
    <w:pitch w:val="default"/>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150266"/>
      <w:docPartObj>
        <w:docPartGallery w:val="Page Numbers (Bottom of Page)"/>
        <w:docPartUnique/>
      </w:docPartObj>
    </w:sdtPr>
    <w:sdtContent>
      <w:p w:rsidR="00B2110A" w:rsidRDefault="00B921C7">
        <w:pPr>
          <w:pStyle w:val="Footer"/>
        </w:pPr>
        <w:fldSimple w:instr=" PAGE   \* MERGEFORMAT ">
          <w:r w:rsidR="00E80C6C">
            <w:rPr>
              <w:noProof/>
              <w:rtl/>
            </w:rPr>
            <w:t>10</w:t>
          </w:r>
        </w:fldSimple>
      </w:p>
    </w:sdtContent>
  </w:sdt>
  <w:p w:rsidR="00B2110A" w:rsidRDefault="00B211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FC7" w:rsidRDefault="00D16FC7" w:rsidP="00B2110A">
      <w:pPr>
        <w:spacing w:after="0" w:line="240" w:lineRule="auto"/>
      </w:pPr>
      <w:r>
        <w:separator/>
      </w:r>
    </w:p>
  </w:footnote>
  <w:footnote w:type="continuationSeparator" w:id="1">
    <w:p w:rsidR="00D16FC7" w:rsidRDefault="00D16FC7" w:rsidP="00B211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30339"/>
    <w:multiLevelType w:val="hybridMultilevel"/>
    <w:tmpl w:val="834EC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256B8A"/>
    <w:multiLevelType w:val="hybridMultilevel"/>
    <w:tmpl w:val="230A9246"/>
    <w:lvl w:ilvl="0" w:tplc="7CD42FCC">
      <w:start w:val="1"/>
      <w:numFmt w:val="decimal"/>
      <w:lvlText w:val="%1."/>
      <w:lvlJc w:val="left"/>
      <w:pPr>
        <w:ind w:left="720" w:hanging="360"/>
      </w:pPr>
      <w:rPr>
        <w:rFonts w:ascii="Usherwood-Bold" w:cs="Usherwood-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204F6D"/>
    <w:multiLevelType w:val="hybridMultilevel"/>
    <w:tmpl w:val="A1A22D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6A0291"/>
    <w:multiLevelType w:val="hybridMultilevel"/>
    <w:tmpl w:val="3578A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CA644B"/>
    <w:multiLevelType w:val="hybridMultilevel"/>
    <w:tmpl w:val="9DA8B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32547E"/>
    <w:multiLevelType w:val="hybridMultilevel"/>
    <w:tmpl w:val="7DA8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DB4B89"/>
    <w:multiLevelType w:val="hybridMultilevel"/>
    <w:tmpl w:val="10A61E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8D08D2"/>
    <w:rsid w:val="0007378B"/>
    <w:rsid w:val="000768BE"/>
    <w:rsid w:val="0008200C"/>
    <w:rsid w:val="00083A1B"/>
    <w:rsid w:val="000A5C18"/>
    <w:rsid w:val="000C1C7B"/>
    <w:rsid w:val="000C5C38"/>
    <w:rsid w:val="000E0340"/>
    <w:rsid w:val="000E364D"/>
    <w:rsid w:val="00110584"/>
    <w:rsid w:val="001A6F21"/>
    <w:rsid w:val="002306FD"/>
    <w:rsid w:val="00245655"/>
    <w:rsid w:val="00277A00"/>
    <w:rsid w:val="002C27E6"/>
    <w:rsid w:val="002D3FB2"/>
    <w:rsid w:val="002D40A3"/>
    <w:rsid w:val="002E31E1"/>
    <w:rsid w:val="00321E54"/>
    <w:rsid w:val="003504DA"/>
    <w:rsid w:val="0035686C"/>
    <w:rsid w:val="003B1CF5"/>
    <w:rsid w:val="003B6A22"/>
    <w:rsid w:val="003C0896"/>
    <w:rsid w:val="003D5A86"/>
    <w:rsid w:val="003D7D3F"/>
    <w:rsid w:val="00400154"/>
    <w:rsid w:val="00410527"/>
    <w:rsid w:val="00440C72"/>
    <w:rsid w:val="00462B6D"/>
    <w:rsid w:val="00492AAF"/>
    <w:rsid w:val="004B58B5"/>
    <w:rsid w:val="00521391"/>
    <w:rsid w:val="00526FDF"/>
    <w:rsid w:val="00541C0D"/>
    <w:rsid w:val="00565834"/>
    <w:rsid w:val="00580EAD"/>
    <w:rsid w:val="00585A07"/>
    <w:rsid w:val="005C7414"/>
    <w:rsid w:val="00664EFB"/>
    <w:rsid w:val="0067266C"/>
    <w:rsid w:val="007614AD"/>
    <w:rsid w:val="00766FA2"/>
    <w:rsid w:val="007749FB"/>
    <w:rsid w:val="007C51A3"/>
    <w:rsid w:val="007F03EB"/>
    <w:rsid w:val="00846A24"/>
    <w:rsid w:val="008939E4"/>
    <w:rsid w:val="008A1757"/>
    <w:rsid w:val="008A1E21"/>
    <w:rsid w:val="008B2F85"/>
    <w:rsid w:val="008D08D2"/>
    <w:rsid w:val="008E4D04"/>
    <w:rsid w:val="008F4740"/>
    <w:rsid w:val="00935824"/>
    <w:rsid w:val="009362F4"/>
    <w:rsid w:val="00956184"/>
    <w:rsid w:val="00964059"/>
    <w:rsid w:val="009F7AB5"/>
    <w:rsid w:val="00A415D5"/>
    <w:rsid w:val="00A53BD8"/>
    <w:rsid w:val="00A54AC9"/>
    <w:rsid w:val="00A7309C"/>
    <w:rsid w:val="00AE402B"/>
    <w:rsid w:val="00B104ED"/>
    <w:rsid w:val="00B2110A"/>
    <w:rsid w:val="00B66F56"/>
    <w:rsid w:val="00B921C7"/>
    <w:rsid w:val="00BC5808"/>
    <w:rsid w:val="00BE11B4"/>
    <w:rsid w:val="00BF37D1"/>
    <w:rsid w:val="00C43F9E"/>
    <w:rsid w:val="00C8692E"/>
    <w:rsid w:val="00CB7FDE"/>
    <w:rsid w:val="00CD7C65"/>
    <w:rsid w:val="00D00988"/>
    <w:rsid w:val="00D16FC7"/>
    <w:rsid w:val="00D20F6A"/>
    <w:rsid w:val="00D451C4"/>
    <w:rsid w:val="00DF1964"/>
    <w:rsid w:val="00DF2069"/>
    <w:rsid w:val="00E0187D"/>
    <w:rsid w:val="00E059A0"/>
    <w:rsid w:val="00E13BCF"/>
    <w:rsid w:val="00E45F8E"/>
    <w:rsid w:val="00E80C6C"/>
    <w:rsid w:val="00EB73EB"/>
    <w:rsid w:val="00EC6376"/>
    <w:rsid w:val="00ED4056"/>
    <w:rsid w:val="00F04231"/>
    <w:rsid w:val="00F10AB4"/>
    <w:rsid w:val="00F13B60"/>
    <w:rsid w:val="00FA2E54"/>
    <w:rsid w:val="00FA4EC7"/>
    <w:rsid w:val="00FB1584"/>
    <w:rsid w:val="00FC0BF0"/>
    <w:rsid w:val="00FC430D"/>
    <w:rsid w:val="00FE0918"/>
    <w:rsid w:val="00FE09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732]"/>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34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8D2"/>
    <w:pPr>
      <w:ind w:left="720"/>
      <w:contextualSpacing/>
    </w:pPr>
  </w:style>
  <w:style w:type="paragraph" w:styleId="BalloonText">
    <w:name w:val="Balloon Text"/>
    <w:basedOn w:val="Normal"/>
    <w:link w:val="BalloonTextChar"/>
    <w:uiPriority w:val="99"/>
    <w:semiHidden/>
    <w:unhideWhenUsed/>
    <w:rsid w:val="008E4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D04"/>
    <w:rPr>
      <w:rFonts w:ascii="Tahoma" w:hAnsi="Tahoma" w:cs="Tahoma"/>
      <w:sz w:val="16"/>
      <w:szCs w:val="16"/>
    </w:rPr>
  </w:style>
  <w:style w:type="paragraph" w:styleId="Header">
    <w:name w:val="header"/>
    <w:basedOn w:val="Normal"/>
    <w:link w:val="HeaderChar"/>
    <w:uiPriority w:val="99"/>
    <w:semiHidden/>
    <w:unhideWhenUsed/>
    <w:rsid w:val="00B2110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2110A"/>
  </w:style>
  <w:style w:type="paragraph" w:styleId="Footer">
    <w:name w:val="footer"/>
    <w:basedOn w:val="Normal"/>
    <w:link w:val="FooterChar"/>
    <w:uiPriority w:val="99"/>
    <w:unhideWhenUsed/>
    <w:rsid w:val="00B211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11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2411</Words>
  <Characters>12798</Characters>
  <Application>Microsoft Office Word</Application>
  <DocSecurity>0</DocSecurity>
  <Lines>274</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EmbryoIVF</Company>
  <LinksUpToDate>false</LinksUpToDate>
  <CharactersWithSpaces>15172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dc:creator>
  <cp:keywords/>
  <dc:description/>
  <cp:lastModifiedBy>muh</cp:lastModifiedBy>
  <cp:revision>5</cp:revision>
  <cp:lastPrinted>2015-02-24T16:25:00Z</cp:lastPrinted>
  <dcterms:created xsi:type="dcterms:W3CDTF">2014-03-14T07:27:00Z</dcterms:created>
  <dcterms:modified xsi:type="dcterms:W3CDTF">2015-02-24T16:35:00Z</dcterms:modified>
</cp:coreProperties>
</file>