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59B" w:rsidRPr="0098259B" w:rsidRDefault="0098259B" w:rsidP="0098259B">
      <w:pPr>
        <w:pStyle w:val="NormalWeb"/>
        <w:spacing w:before="0" w:beforeAutospacing="0" w:after="0" w:afterAutospacing="0" w:line="360" w:lineRule="auto"/>
        <w:jc w:val="both"/>
        <w:rPr>
          <w:rFonts w:asciiTheme="majorBidi" w:hAnsiTheme="majorBidi" w:cstheme="majorBidi"/>
          <w:sz w:val="32"/>
          <w:szCs w:val="32"/>
        </w:rPr>
      </w:pPr>
      <w:proofErr w:type="gramStart"/>
      <w:r w:rsidRPr="0098259B">
        <w:rPr>
          <w:rFonts w:asciiTheme="majorBidi" w:hAnsiTheme="majorBidi" w:cstheme="majorBidi"/>
          <w:b/>
          <w:bCs/>
          <w:sz w:val="32"/>
          <w:szCs w:val="32"/>
        </w:rPr>
        <w:t>Spermatogenesis</w:t>
      </w:r>
      <w:r w:rsidRPr="0098259B">
        <w:rPr>
          <w:rFonts w:asciiTheme="majorBidi" w:hAnsiTheme="majorBidi" w:cstheme="majorBidi"/>
          <w:sz w:val="32"/>
          <w:szCs w:val="32"/>
        </w:rPr>
        <w:t xml:space="preserve"> :</w:t>
      </w:r>
      <w:proofErr w:type="gramEnd"/>
      <w:r w:rsidRPr="0098259B">
        <w:rPr>
          <w:rFonts w:asciiTheme="majorBidi" w:hAnsiTheme="majorBidi" w:cstheme="majorBidi"/>
          <w:sz w:val="32"/>
          <w:szCs w:val="32"/>
        </w:rPr>
        <w:t xml:space="preserve"> is the process by which male primordial germ cells called </w:t>
      </w:r>
      <w:hyperlink r:id="rId7" w:tooltip="Spermatogonia" w:history="1">
        <w:proofErr w:type="spellStart"/>
        <w:r w:rsidRPr="0098259B">
          <w:rPr>
            <w:rStyle w:val="Hyperlink"/>
            <w:rFonts w:asciiTheme="majorBidi" w:hAnsiTheme="majorBidi" w:cstheme="majorBidi"/>
            <w:sz w:val="32"/>
            <w:szCs w:val="32"/>
          </w:rPr>
          <w:t>spermatogonia</w:t>
        </w:r>
        <w:proofErr w:type="spellEnd"/>
      </w:hyperlink>
      <w:r w:rsidRPr="0098259B">
        <w:rPr>
          <w:rFonts w:asciiTheme="majorBidi" w:hAnsiTheme="majorBidi" w:cstheme="majorBidi"/>
          <w:sz w:val="32"/>
          <w:szCs w:val="32"/>
        </w:rPr>
        <w:t xml:space="preserve"> undergo </w:t>
      </w:r>
      <w:hyperlink r:id="rId8" w:tooltip="Meiosis" w:history="1">
        <w:r w:rsidRPr="0098259B">
          <w:rPr>
            <w:rStyle w:val="Hyperlink"/>
            <w:rFonts w:asciiTheme="majorBidi" w:hAnsiTheme="majorBidi" w:cstheme="majorBidi"/>
            <w:sz w:val="32"/>
            <w:szCs w:val="32"/>
          </w:rPr>
          <w:t>meiosis</w:t>
        </w:r>
      </w:hyperlink>
      <w:r w:rsidRPr="0098259B">
        <w:rPr>
          <w:rFonts w:asciiTheme="majorBidi" w:hAnsiTheme="majorBidi" w:cstheme="majorBidi"/>
          <w:sz w:val="32"/>
          <w:szCs w:val="32"/>
        </w:rPr>
        <w:t xml:space="preserve">, and produce a number of cells termed </w:t>
      </w:r>
      <w:hyperlink r:id="rId9" w:tooltip="Spermatozoa" w:history="1">
        <w:r w:rsidRPr="0098259B">
          <w:rPr>
            <w:rStyle w:val="Hyperlink"/>
            <w:rFonts w:asciiTheme="majorBidi" w:hAnsiTheme="majorBidi" w:cstheme="majorBidi"/>
            <w:sz w:val="32"/>
            <w:szCs w:val="32"/>
          </w:rPr>
          <w:t>spermatozoa</w:t>
        </w:r>
      </w:hyperlink>
      <w:r w:rsidRPr="0098259B">
        <w:rPr>
          <w:rFonts w:asciiTheme="majorBidi" w:hAnsiTheme="majorBidi" w:cstheme="majorBidi"/>
          <w:sz w:val="32"/>
          <w:szCs w:val="32"/>
        </w:rPr>
        <w:t xml:space="preserve">. The initial cells in this pathway are called primary </w:t>
      </w:r>
      <w:hyperlink r:id="rId10" w:tooltip="Spermatocytes" w:history="1">
        <w:r w:rsidRPr="0098259B">
          <w:rPr>
            <w:rStyle w:val="Hyperlink"/>
            <w:rFonts w:asciiTheme="majorBidi" w:hAnsiTheme="majorBidi" w:cstheme="majorBidi"/>
            <w:sz w:val="32"/>
            <w:szCs w:val="32"/>
          </w:rPr>
          <w:t>spermatocytes</w:t>
        </w:r>
      </w:hyperlink>
      <w:r w:rsidRPr="0098259B">
        <w:rPr>
          <w:rFonts w:asciiTheme="majorBidi" w:hAnsiTheme="majorBidi" w:cstheme="majorBidi"/>
          <w:sz w:val="32"/>
          <w:szCs w:val="32"/>
        </w:rPr>
        <w:t xml:space="preserve">. The primary spermatocyte divides into two secondary spermatocytes; each secondary spermatocyte then divides into two </w:t>
      </w:r>
      <w:hyperlink r:id="rId11" w:tooltip="Spermatids" w:history="1">
        <w:r w:rsidRPr="0098259B">
          <w:rPr>
            <w:rStyle w:val="Hyperlink"/>
            <w:rFonts w:asciiTheme="majorBidi" w:hAnsiTheme="majorBidi" w:cstheme="majorBidi"/>
            <w:sz w:val="32"/>
            <w:szCs w:val="32"/>
          </w:rPr>
          <w:t>spermatids</w:t>
        </w:r>
      </w:hyperlink>
      <w:r w:rsidRPr="0098259B">
        <w:rPr>
          <w:rFonts w:asciiTheme="majorBidi" w:hAnsiTheme="majorBidi" w:cstheme="majorBidi"/>
          <w:sz w:val="32"/>
          <w:szCs w:val="32"/>
        </w:rPr>
        <w:t xml:space="preserve">. These develop into mature spermatozoa, also known as </w:t>
      </w:r>
      <w:hyperlink r:id="rId12" w:tooltip="Sperm" w:history="1">
        <w:r w:rsidRPr="0098259B">
          <w:rPr>
            <w:rStyle w:val="Hyperlink"/>
            <w:rFonts w:asciiTheme="majorBidi" w:hAnsiTheme="majorBidi" w:cstheme="majorBidi"/>
            <w:sz w:val="32"/>
            <w:szCs w:val="32"/>
          </w:rPr>
          <w:t>sperm</w:t>
        </w:r>
      </w:hyperlink>
      <w:r w:rsidRPr="0098259B">
        <w:rPr>
          <w:rFonts w:asciiTheme="majorBidi" w:hAnsiTheme="majorBidi" w:cstheme="majorBidi"/>
          <w:sz w:val="32"/>
          <w:szCs w:val="32"/>
        </w:rPr>
        <w:t xml:space="preserve"> cells. Thus, the primary spermatocyte gives rise to two cells, the secondary spermatocytes, and the two secondary spermatocytes by their subdivision produce four spermatozoa, called mature male gametes, commonly called </w:t>
      </w:r>
      <w:r w:rsidRPr="0098259B">
        <w:rPr>
          <w:rFonts w:asciiTheme="majorBidi" w:hAnsiTheme="majorBidi" w:cstheme="majorBidi"/>
          <w:i/>
          <w:iCs/>
          <w:sz w:val="32"/>
          <w:szCs w:val="32"/>
        </w:rPr>
        <w:t>sperm</w:t>
      </w:r>
      <w:r w:rsidRPr="0098259B">
        <w:rPr>
          <w:rFonts w:asciiTheme="majorBidi" w:hAnsiTheme="majorBidi" w:cstheme="majorBidi"/>
          <w:sz w:val="32"/>
          <w:szCs w:val="32"/>
        </w:rPr>
        <w:t xml:space="preserve"> which are able to fertilize the counterpart female </w:t>
      </w:r>
      <w:proofErr w:type="spellStart"/>
      <w:r w:rsidRPr="0098259B">
        <w:rPr>
          <w:rFonts w:asciiTheme="majorBidi" w:hAnsiTheme="majorBidi" w:cstheme="majorBidi"/>
          <w:sz w:val="32"/>
          <w:szCs w:val="32"/>
        </w:rPr>
        <w:t>gamete</w:t>
      </w:r>
      <w:proofErr w:type="gramStart"/>
      <w:r w:rsidRPr="0098259B">
        <w:rPr>
          <w:rFonts w:asciiTheme="majorBidi" w:hAnsiTheme="majorBidi" w:cstheme="majorBidi"/>
          <w:sz w:val="32"/>
          <w:szCs w:val="32"/>
        </w:rPr>
        <w:t>,consist</w:t>
      </w:r>
      <w:proofErr w:type="spellEnd"/>
      <w:proofErr w:type="gramEnd"/>
      <w:r w:rsidRPr="0098259B">
        <w:rPr>
          <w:rFonts w:asciiTheme="majorBidi" w:hAnsiTheme="majorBidi" w:cstheme="majorBidi"/>
          <w:sz w:val="32"/>
          <w:szCs w:val="32"/>
        </w:rPr>
        <w:t xml:space="preserve"> of tail ,body and head . </w:t>
      </w:r>
    </w:p>
    <w:p w:rsidR="0098259B" w:rsidRPr="0098259B" w:rsidRDefault="0098259B" w:rsidP="0098259B">
      <w:pPr>
        <w:pStyle w:val="NormalWeb"/>
        <w:spacing w:before="0" w:beforeAutospacing="0" w:after="0" w:afterAutospacing="0" w:line="360" w:lineRule="auto"/>
        <w:jc w:val="both"/>
        <w:rPr>
          <w:rFonts w:asciiTheme="majorBidi" w:hAnsiTheme="majorBidi" w:cstheme="majorBidi"/>
          <w:sz w:val="32"/>
          <w:szCs w:val="32"/>
        </w:rPr>
      </w:pPr>
      <w:r w:rsidRPr="0098259B">
        <w:rPr>
          <w:rFonts w:asciiTheme="majorBidi" w:hAnsiTheme="majorBidi" w:cstheme="majorBidi"/>
          <w:sz w:val="32"/>
          <w:szCs w:val="32"/>
        </w:rPr>
        <w:t xml:space="preserve">The process of spermatogenesis is highly sensitive to fluctuations in the environment, particularly </w:t>
      </w:r>
      <w:hyperlink r:id="rId13" w:tooltip="Hormone" w:history="1">
        <w:r w:rsidRPr="0098259B">
          <w:rPr>
            <w:rStyle w:val="Hyperlink"/>
            <w:rFonts w:asciiTheme="majorBidi" w:hAnsiTheme="majorBidi" w:cstheme="majorBidi"/>
            <w:sz w:val="32"/>
            <w:szCs w:val="32"/>
          </w:rPr>
          <w:t>hormones</w:t>
        </w:r>
      </w:hyperlink>
      <w:r w:rsidRPr="0098259B">
        <w:rPr>
          <w:rFonts w:asciiTheme="majorBidi" w:hAnsiTheme="majorBidi" w:cstheme="majorBidi"/>
          <w:sz w:val="32"/>
          <w:szCs w:val="32"/>
        </w:rPr>
        <w:t xml:space="preserve"> and temperature.</w:t>
      </w:r>
    </w:p>
    <w:p w:rsidR="0098259B" w:rsidRPr="0098259B" w:rsidRDefault="0098259B" w:rsidP="0098259B">
      <w:pPr>
        <w:bidi w:val="0"/>
        <w:spacing w:line="360" w:lineRule="auto"/>
        <w:jc w:val="both"/>
        <w:rPr>
          <w:rFonts w:asciiTheme="majorBidi" w:hAnsiTheme="majorBidi" w:cstheme="majorBidi"/>
          <w:sz w:val="32"/>
          <w:szCs w:val="32"/>
        </w:rPr>
      </w:pPr>
      <w:r w:rsidRPr="0098259B">
        <w:rPr>
          <w:rFonts w:asciiTheme="majorBidi" w:hAnsiTheme="majorBidi" w:cstheme="majorBidi"/>
          <w:b/>
          <w:bCs/>
          <w:sz w:val="32"/>
          <w:szCs w:val="32"/>
        </w:rPr>
        <w:t>Oogenesis</w:t>
      </w:r>
      <w:r w:rsidRPr="0098259B">
        <w:rPr>
          <w:rFonts w:asciiTheme="majorBidi" w:hAnsiTheme="majorBidi" w:cstheme="majorBidi"/>
          <w:sz w:val="32"/>
          <w:szCs w:val="32"/>
        </w:rPr>
        <w:t xml:space="preserve">: is the creation of an </w:t>
      </w:r>
      <w:hyperlink r:id="rId14" w:tooltip="Ovum" w:history="1">
        <w:r w:rsidRPr="0098259B">
          <w:rPr>
            <w:rStyle w:val="Hyperlink"/>
            <w:rFonts w:asciiTheme="majorBidi" w:hAnsiTheme="majorBidi" w:cstheme="majorBidi"/>
            <w:sz w:val="32"/>
            <w:szCs w:val="32"/>
          </w:rPr>
          <w:t>ovum</w:t>
        </w:r>
      </w:hyperlink>
      <w:r w:rsidRPr="0098259B">
        <w:rPr>
          <w:rFonts w:asciiTheme="majorBidi" w:hAnsiTheme="majorBidi" w:cstheme="majorBidi"/>
          <w:sz w:val="32"/>
          <w:szCs w:val="32"/>
        </w:rPr>
        <w:t xml:space="preserve"> (egg cell). </w:t>
      </w:r>
      <w:proofErr w:type="gramStart"/>
      <w:r w:rsidRPr="0098259B">
        <w:rPr>
          <w:rFonts w:asciiTheme="majorBidi" w:hAnsiTheme="majorBidi" w:cstheme="majorBidi"/>
          <w:sz w:val="32"/>
          <w:szCs w:val="32"/>
        </w:rPr>
        <w:t>the</w:t>
      </w:r>
      <w:proofErr w:type="gramEnd"/>
      <w:r w:rsidRPr="0098259B">
        <w:rPr>
          <w:rFonts w:asciiTheme="majorBidi" w:hAnsiTheme="majorBidi" w:cstheme="majorBidi"/>
          <w:sz w:val="32"/>
          <w:szCs w:val="32"/>
        </w:rPr>
        <w:t xml:space="preserve"> first polar body normally disintegrates before dividing, so only two polar bodies are produced.)</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297"/>
        <w:gridCol w:w="66"/>
        <w:gridCol w:w="66"/>
        <w:gridCol w:w="30"/>
        <w:gridCol w:w="81"/>
      </w:tblGrid>
      <w:tr w:rsidR="0098259B" w:rsidRPr="0098259B" w:rsidTr="002C7CCF">
        <w:trPr>
          <w:gridAfter w:val="2"/>
          <w:tblCellSpacing w:w="15" w:type="dxa"/>
        </w:trPr>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r w:rsidRPr="0098259B">
              <w:rPr>
                <w:rFonts w:asciiTheme="majorBidi" w:hAnsiTheme="majorBidi" w:cstheme="majorBidi"/>
                <w:sz w:val="32"/>
                <w:szCs w:val="32"/>
              </w:rPr>
              <w:t xml:space="preserve">primary </w:t>
            </w:r>
            <w:hyperlink r:id="rId15" w:tooltip="Oocyte" w:history="1">
              <w:r w:rsidRPr="0098259B">
                <w:rPr>
                  <w:rFonts w:asciiTheme="majorBidi" w:hAnsiTheme="majorBidi" w:cstheme="majorBidi"/>
                  <w:sz w:val="32"/>
                  <w:szCs w:val="32"/>
                  <w:u w:val="single"/>
                </w:rPr>
                <w:t>Oocyte</w:t>
              </w:r>
            </w:hyperlink>
          </w:p>
        </w:tc>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p>
        </w:tc>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p>
        </w:tc>
      </w:tr>
      <w:tr w:rsidR="0098259B" w:rsidRPr="0098259B" w:rsidTr="002C7CCF">
        <w:trPr>
          <w:tblCellSpacing w:w="15" w:type="dxa"/>
        </w:trPr>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proofErr w:type="spellStart"/>
            <w:r w:rsidRPr="0098259B">
              <w:rPr>
                <w:rFonts w:asciiTheme="majorBidi" w:hAnsiTheme="majorBidi" w:cstheme="majorBidi"/>
                <w:sz w:val="32"/>
                <w:szCs w:val="32"/>
              </w:rPr>
              <w:t>secondary</w:t>
            </w:r>
            <w:hyperlink r:id="rId16" w:tooltip="Oocyte" w:history="1">
              <w:r w:rsidRPr="0098259B">
                <w:rPr>
                  <w:rFonts w:asciiTheme="majorBidi" w:hAnsiTheme="majorBidi" w:cstheme="majorBidi"/>
                  <w:sz w:val="32"/>
                  <w:szCs w:val="32"/>
                  <w:u w:val="single"/>
                </w:rPr>
                <w:t>Oocyte</w:t>
              </w:r>
              <w:proofErr w:type="spellEnd"/>
            </w:hyperlink>
          </w:p>
        </w:tc>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p>
        </w:tc>
        <w:tc>
          <w:tcPr>
            <w:tcW w:w="0" w:type="auto"/>
            <w:gridSpan w:val="2"/>
            <w:vAlign w:val="center"/>
          </w:tcPr>
          <w:p w:rsidR="0098259B" w:rsidRPr="0098259B" w:rsidRDefault="0098259B" w:rsidP="0098259B">
            <w:pPr>
              <w:bidi w:val="0"/>
              <w:spacing w:line="360" w:lineRule="auto"/>
              <w:jc w:val="both"/>
              <w:rPr>
                <w:rFonts w:asciiTheme="majorBidi" w:hAnsiTheme="majorBidi" w:cstheme="majorBidi"/>
                <w:sz w:val="32"/>
                <w:szCs w:val="32"/>
              </w:rPr>
            </w:pPr>
          </w:p>
        </w:tc>
        <w:tc>
          <w:tcPr>
            <w:tcW w:w="0" w:type="auto"/>
            <w:vAlign w:val="center"/>
          </w:tcPr>
          <w:p w:rsidR="0098259B" w:rsidRPr="0098259B" w:rsidRDefault="0098259B" w:rsidP="0098259B">
            <w:pPr>
              <w:bidi w:val="0"/>
              <w:spacing w:line="360" w:lineRule="auto"/>
              <w:jc w:val="both"/>
              <w:rPr>
                <w:rFonts w:asciiTheme="majorBidi" w:hAnsiTheme="majorBidi" w:cstheme="majorBidi"/>
                <w:sz w:val="32"/>
                <w:szCs w:val="32"/>
              </w:rPr>
            </w:pPr>
          </w:p>
        </w:tc>
      </w:tr>
    </w:tbl>
    <w:p w:rsidR="0098259B" w:rsidRPr="0098259B" w:rsidRDefault="0098259B" w:rsidP="0098259B">
      <w:pPr>
        <w:bidi w:val="0"/>
        <w:spacing w:line="360" w:lineRule="auto"/>
        <w:jc w:val="both"/>
        <w:rPr>
          <w:rFonts w:asciiTheme="majorBidi" w:hAnsiTheme="majorBidi" w:cstheme="majorBidi"/>
          <w:sz w:val="32"/>
          <w:szCs w:val="32"/>
        </w:rPr>
      </w:pPr>
      <w:r w:rsidRPr="0098259B">
        <w:rPr>
          <w:rFonts w:asciiTheme="majorBidi" w:hAnsiTheme="majorBidi" w:cstheme="majorBidi"/>
          <w:sz w:val="32"/>
          <w:szCs w:val="32"/>
        </w:rPr>
        <w:lastRenderedPageBreak/>
        <w:t xml:space="preserve">In </w:t>
      </w:r>
      <w:hyperlink r:id="rId17" w:tooltip="Mammal" w:history="1">
        <w:r w:rsidRPr="0098259B">
          <w:rPr>
            <w:rFonts w:asciiTheme="majorBidi" w:hAnsiTheme="majorBidi" w:cstheme="majorBidi"/>
            <w:sz w:val="32"/>
            <w:szCs w:val="32"/>
          </w:rPr>
          <w:t>mammals</w:t>
        </w:r>
      </w:hyperlink>
      <w:r w:rsidRPr="0098259B">
        <w:rPr>
          <w:rFonts w:asciiTheme="majorBidi" w:hAnsiTheme="majorBidi" w:cstheme="majorBidi"/>
          <w:sz w:val="32"/>
          <w:szCs w:val="32"/>
        </w:rPr>
        <w:t xml:space="preserve">, the first part of oogenesis starts in the </w:t>
      </w:r>
      <w:hyperlink r:id="rId18" w:tooltip="Germinal epithelium (female)" w:history="1">
        <w:r w:rsidRPr="0098259B">
          <w:rPr>
            <w:rFonts w:asciiTheme="majorBidi" w:hAnsiTheme="majorBidi" w:cstheme="majorBidi"/>
            <w:sz w:val="32"/>
            <w:szCs w:val="32"/>
          </w:rPr>
          <w:t>germinal epithelium</w:t>
        </w:r>
      </w:hyperlink>
      <w:r w:rsidRPr="0098259B">
        <w:rPr>
          <w:rFonts w:asciiTheme="majorBidi" w:hAnsiTheme="majorBidi" w:cstheme="majorBidi"/>
          <w:sz w:val="32"/>
          <w:szCs w:val="32"/>
        </w:rPr>
        <w:t xml:space="preserve">, which gives rise to the development of </w:t>
      </w:r>
      <w:hyperlink r:id="rId19" w:tooltip="Ovarian follicles" w:history="1">
        <w:r w:rsidRPr="0098259B">
          <w:rPr>
            <w:rFonts w:asciiTheme="majorBidi" w:hAnsiTheme="majorBidi" w:cstheme="majorBidi"/>
            <w:sz w:val="32"/>
            <w:szCs w:val="32"/>
          </w:rPr>
          <w:t>ovarian follicles</w:t>
        </w:r>
      </w:hyperlink>
      <w:r w:rsidRPr="0098259B">
        <w:rPr>
          <w:rFonts w:asciiTheme="majorBidi" w:hAnsiTheme="majorBidi" w:cstheme="majorBidi"/>
          <w:sz w:val="32"/>
          <w:szCs w:val="32"/>
        </w:rPr>
        <w:t xml:space="preserve">, the functional unit of the </w:t>
      </w:r>
      <w:hyperlink r:id="rId20" w:tooltip="Ovary" w:history="1">
        <w:r w:rsidRPr="0098259B">
          <w:rPr>
            <w:rFonts w:asciiTheme="majorBidi" w:hAnsiTheme="majorBidi" w:cstheme="majorBidi"/>
            <w:sz w:val="32"/>
            <w:szCs w:val="32"/>
          </w:rPr>
          <w:t>ovary</w:t>
        </w:r>
      </w:hyperlink>
      <w:r w:rsidRPr="0098259B">
        <w:rPr>
          <w:rFonts w:asciiTheme="majorBidi" w:hAnsiTheme="majorBidi" w:cstheme="majorBidi"/>
          <w:sz w:val="32"/>
          <w:szCs w:val="32"/>
        </w:rPr>
        <w:t>.</w:t>
      </w:r>
    </w:p>
    <w:p w:rsidR="0098259B" w:rsidRPr="0098259B" w:rsidRDefault="0098259B" w:rsidP="0098259B">
      <w:pPr>
        <w:pStyle w:val="NormalWeb"/>
        <w:spacing w:before="0" w:beforeAutospacing="0" w:after="0" w:afterAutospacing="0" w:line="360" w:lineRule="auto"/>
        <w:jc w:val="both"/>
        <w:rPr>
          <w:rFonts w:asciiTheme="majorBidi" w:hAnsiTheme="majorBidi" w:cstheme="majorBidi"/>
          <w:sz w:val="32"/>
          <w:szCs w:val="32"/>
        </w:rPr>
      </w:pPr>
      <w:proofErr w:type="spellStart"/>
      <w:r w:rsidRPr="0098259B">
        <w:rPr>
          <w:rFonts w:asciiTheme="majorBidi" w:hAnsiTheme="majorBidi" w:cstheme="majorBidi"/>
          <w:sz w:val="32"/>
          <w:szCs w:val="32"/>
        </w:rPr>
        <w:t>Oogonium</w:t>
      </w:r>
      <w:proofErr w:type="spellEnd"/>
      <w:r w:rsidRPr="0098259B">
        <w:rPr>
          <w:rFonts w:asciiTheme="majorBidi" w:hAnsiTheme="majorBidi" w:cstheme="majorBidi"/>
          <w:sz w:val="32"/>
          <w:szCs w:val="32"/>
        </w:rPr>
        <w:t xml:space="preserve"> </w:t>
      </w:r>
      <w:proofErr w:type="gramStart"/>
      <w:r w:rsidRPr="0098259B">
        <w:rPr>
          <w:rFonts w:asciiTheme="majorBidi" w:hAnsiTheme="majorBidi" w:cstheme="majorBidi"/>
          <w:sz w:val="32"/>
          <w:szCs w:val="32"/>
        </w:rPr>
        <w:t>—(</w:t>
      </w:r>
      <w:proofErr w:type="spellStart"/>
      <w:proofErr w:type="gramEnd"/>
      <w:r w:rsidRPr="0098259B">
        <w:rPr>
          <w:rFonts w:asciiTheme="majorBidi" w:hAnsiTheme="majorBidi" w:cstheme="majorBidi"/>
          <w:sz w:val="32"/>
          <w:szCs w:val="32"/>
        </w:rPr>
        <w:t>Oocytogenesis</w:t>
      </w:r>
      <w:proofErr w:type="spellEnd"/>
      <w:r w:rsidRPr="0098259B">
        <w:rPr>
          <w:rFonts w:asciiTheme="majorBidi" w:hAnsiTheme="majorBidi" w:cstheme="majorBidi"/>
          <w:sz w:val="32"/>
          <w:szCs w:val="32"/>
        </w:rPr>
        <w:t>)—&gt; Primary Oocyte —(Meiosis I)—&gt; First Polar Body (Discarded afterward) + Secondary oocyte —(Meiosis II)—&gt; Second Polar Body (Discarded afterward) + Ovum.</w:t>
      </w:r>
    </w:p>
    <w:p w:rsidR="0098259B" w:rsidRPr="0098259B" w:rsidRDefault="0098259B" w:rsidP="0098259B">
      <w:pPr>
        <w:pStyle w:val="NormalWeb"/>
        <w:spacing w:before="0" w:beforeAutospacing="0" w:after="0" w:afterAutospacing="0" w:line="360" w:lineRule="auto"/>
        <w:jc w:val="both"/>
        <w:rPr>
          <w:rFonts w:asciiTheme="majorBidi" w:hAnsiTheme="majorBidi" w:cstheme="majorBidi"/>
          <w:sz w:val="32"/>
          <w:szCs w:val="32"/>
        </w:rPr>
      </w:pPr>
      <w:r w:rsidRPr="0098259B">
        <w:rPr>
          <w:rFonts w:asciiTheme="majorBidi" w:hAnsiTheme="majorBidi" w:cstheme="majorBidi"/>
          <w:sz w:val="32"/>
          <w:szCs w:val="32"/>
        </w:rPr>
        <w:t xml:space="preserve">Oogenesis starts with the process of developing </w:t>
      </w:r>
      <w:hyperlink r:id="rId21" w:tooltip="Oogonium" w:history="1">
        <w:proofErr w:type="spellStart"/>
        <w:r w:rsidRPr="0098259B">
          <w:rPr>
            <w:rStyle w:val="Hyperlink"/>
            <w:rFonts w:asciiTheme="majorBidi" w:hAnsiTheme="majorBidi" w:cstheme="majorBidi"/>
            <w:sz w:val="32"/>
            <w:szCs w:val="32"/>
          </w:rPr>
          <w:t>oogonia</w:t>
        </w:r>
        <w:proofErr w:type="spellEnd"/>
      </w:hyperlink>
      <w:r w:rsidRPr="0098259B">
        <w:rPr>
          <w:rFonts w:asciiTheme="majorBidi" w:hAnsiTheme="majorBidi" w:cstheme="majorBidi"/>
          <w:sz w:val="32"/>
          <w:szCs w:val="32"/>
        </w:rPr>
        <w:t xml:space="preserve">, which occurs via the transformation of </w:t>
      </w:r>
      <w:hyperlink r:id="rId22" w:tooltip="Ovarian follicle" w:history="1">
        <w:r w:rsidRPr="0098259B">
          <w:rPr>
            <w:rStyle w:val="Hyperlink"/>
            <w:rFonts w:asciiTheme="majorBidi" w:hAnsiTheme="majorBidi" w:cstheme="majorBidi"/>
            <w:sz w:val="32"/>
            <w:szCs w:val="32"/>
          </w:rPr>
          <w:t>primordial follicles</w:t>
        </w:r>
      </w:hyperlink>
      <w:r w:rsidRPr="0098259B">
        <w:rPr>
          <w:rFonts w:asciiTheme="majorBidi" w:hAnsiTheme="majorBidi" w:cstheme="majorBidi"/>
          <w:sz w:val="32"/>
          <w:szCs w:val="32"/>
        </w:rPr>
        <w:t xml:space="preserve"> into primary </w:t>
      </w:r>
      <w:hyperlink r:id="rId23" w:tooltip="Oocyte" w:history="1">
        <w:r w:rsidRPr="0098259B">
          <w:rPr>
            <w:rStyle w:val="Hyperlink"/>
            <w:rFonts w:asciiTheme="majorBidi" w:hAnsiTheme="majorBidi" w:cstheme="majorBidi"/>
            <w:sz w:val="32"/>
            <w:szCs w:val="32"/>
          </w:rPr>
          <w:t>oocytes</w:t>
        </w:r>
      </w:hyperlink>
      <w:r w:rsidRPr="0098259B">
        <w:rPr>
          <w:rFonts w:asciiTheme="majorBidi" w:hAnsiTheme="majorBidi" w:cstheme="majorBidi"/>
          <w:sz w:val="32"/>
          <w:szCs w:val="32"/>
        </w:rPr>
        <w:t xml:space="preserve">, a process called </w:t>
      </w:r>
      <w:hyperlink r:id="rId24" w:tooltip="Oocytogenesis" w:history="1">
        <w:proofErr w:type="spellStart"/>
        <w:r w:rsidRPr="0098259B">
          <w:rPr>
            <w:rStyle w:val="Hyperlink"/>
            <w:rFonts w:asciiTheme="majorBidi" w:hAnsiTheme="majorBidi" w:cstheme="majorBidi"/>
            <w:sz w:val="32"/>
            <w:szCs w:val="32"/>
          </w:rPr>
          <w:t>oocytogenesis</w:t>
        </w:r>
        <w:proofErr w:type="spellEnd"/>
      </w:hyperlink>
      <w:r w:rsidRPr="0098259B">
        <w:rPr>
          <w:rFonts w:asciiTheme="majorBidi" w:hAnsiTheme="majorBidi" w:cstheme="majorBidi"/>
          <w:sz w:val="32"/>
          <w:szCs w:val="32"/>
        </w:rPr>
        <w:t xml:space="preserve">. </w:t>
      </w:r>
      <w:proofErr w:type="spellStart"/>
      <w:r w:rsidRPr="0098259B">
        <w:rPr>
          <w:rFonts w:asciiTheme="majorBidi" w:hAnsiTheme="majorBidi" w:cstheme="majorBidi"/>
          <w:sz w:val="32"/>
          <w:szCs w:val="32"/>
        </w:rPr>
        <w:t>Oocytogenesis</w:t>
      </w:r>
      <w:proofErr w:type="spellEnd"/>
      <w:r w:rsidRPr="0098259B">
        <w:rPr>
          <w:rFonts w:asciiTheme="majorBidi" w:hAnsiTheme="majorBidi" w:cstheme="majorBidi"/>
          <w:sz w:val="32"/>
          <w:szCs w:val="32"/>
        </w:rPr>
        <w:t xml:space="preserve"> is complete either before or shortly after birth.</w:t>
      </w:r>
    </w:p>
    <w:p w:rsidR="0098259B" w:rsidRPr="0098259B" w:rsidRDefault="0098259B" w:rsidP="0098259B">
      <w:pPr>
        <w:pStyle w:val="NormalWeb"/>
        <w:spacing w:before="0" w:beforeAutospacing="0" w:after="0" w:afterAutospacing="0" w:line="360" w:lineRule="auto"/>
        <w:jc w:val="both"/>
        <w:rPr>
          <w:rFonts w:asciiTheme="majorBidi" w:hAnsiTheme="majorBidi" w:cstheme="majorBidi"/>
          <w:sz w:val="32"/>
          <w:szCs w:val="32"/>
        </w:rPr>
      </w:pPr>
      <w:r w:rsidRPr="0098259B">
        <w:rPr>
          <w:rFonts w:asciiTheme="majorBidi" w:hAnsiTheme="majorBidi" w:cstheme="majorBidi"/>
          <w:sz w:val="32"/>
          <w:szCs w:val="32"/>
        </w:rPr>
        <w:t xml:space="preserve">At the start of the menstrual cycle, some 12-20 primary follicles begin to develop under the influence of elevated </w:t>
      </w:r>
      <w:hyperlink r:id="rId25" w:tooltip="Follicle-stimulating hormone" w:history="1">
        <w:r w:rsidRPr="0098259B">
          <w:rPr>
            <w:rStyle w:val="Hyperlink"/>
            <w:rFonts w:asciiTheme="majorBidi" w:hAnsiTheme="majorBidi" w:cstheme="majorBidi"/>
            <w:sz w:val="32"/>
            <w:szCs w:val="32"/>
          </w:rPr>
          <w:t>FSH</w:t>
        </w:r>
      </w:hyperlink>
      <w:r w:rsidRPr="0098259B">
        <w:rPr>
          <w:rFonts w:asciiTheme="majorBidi" w:hAnsiTheme="majorBidi" w:cstheme="majorBidi"/>
          <w:sz w:val="32"/>
          <w:szCs w:val="32"/>
        </w:rPr>
        <w:t xml:space="preserve"> to form </w:t>
      </w:r>
      <w:proofErr w:type="gramStart"/>
      <w:r w:rsidRPr="0098259B">
        <w:rPr>
          <w:rFonts w:asciiTheme="majorBidi" w:hAnsiTheme="majorBidi" w:cstheme="majorBidi"/>
          <w:sz w:val="32"/>
          <w:szCs w:val="32"/>
        </w:rPr>
        <w:t>secondary</w:t>
      </w:r>
      <w:proofErr w:type="gramEnd"/>
      <w:r w:rsidRPr="0098259B">
        <w:rPr>
          <w:rFonts w:asciiTheme="majorBidi" w:hAnsiTheme="majorBidi" w:cstheme="majorBidi"/>
          <w:sz w:val="32"/>
          <w:szCs w:val="32"/>
        </w:rPr>
        <w:t xml:space="preserve"> follicles. The primary follicles have formed from primordial follicles, which developed in the ovary at around 10–30 weeks after conception. By around day 9 of the cycle, only one healthy secondary follicle remains, with the rest having undergone </w:t>
      </w:r>
      <w:hyperlink r:id="rId26" w:tooltip="Ovarian follicle atresia" w:history="1">
        <w:r w:rsidRPr="0098259B">
          <w:rPr>
            <w:rStyle w:val="Hyperlink"/>
            <w:rFonts w:asciiTheme="majorBidi" w:hAnsiTheme="majorBidi" w:cstheme="majorBidi"/>
            <w:sz w:val="32"/>
            <w:szCs w:val="32"/>
          </w:rPr>
          <w:t>ovarian follicle atresia</w:t>
        </w:r>
      </w:hyperlink>
      <w:r w:rsidRPr="0098259B">
        <w:rPr>
          <w:rFonts w:asciiTheme="majorBidi" w:hAnsiTheme="majorBidi" w:cstheme="majorBidi"/>
          <w:sz w:val="32"/>
          <w:szCs w:val="32"/>
        </w:rPr>
        <w:t xml:space="preserve">. The remaining follicle is called the dominant follicle and is responsible for producing large amounts of </w:t>
      </w:r>
      <w:hyperlink r:id="rId27" w:tooltip="Estradiol" w:history="1">
        <w:r w:rsidRPr="0098259B">
          <w:rPr>
            <w:rStyle w:val="Hyperlink"/>
            <w:rFonts w:asciiTheme="majorBidi" w:hAnsiTheme="majorBidi" w:cstheme="majorBidi"/>
            <w:sz w:val="32"/>
            <w:szCs w:val="32"/>
          </w:rPr>
          <w:t>estradiol</w:t>
        </w:r>
      </w:hyperlink>
      <w:r w:rsidRPr="0098259B">
        <w:rPr>
          <w:rFonts w:asciiTheme="majorBidi" w:hAnsiTheme="majorBidi" w:cstheme="majorBidi"/>
          <w:sz w:val="32"/>
          <w:szCs w:val="32"/>
        </w:rPr>
        <w:t xml:space="preserve"> during the late follicular phase. Estradiol production depends upon co-operation between the </w:t>
      </w:r>
      <w:hyperlink r:id="rId28" w:tooltip="Theca cell" w:history="1">
        <w:r w:rsidRPr="0098259B">
          <w:rPr>
            <w:rStyle w:val="Hyperlink"/>
            <w:rFonts w:asciiTheme="majorBidi" w:hAnsiTheme="majorBidi" w:cstheme="majorBidi"/>
            <w:sz w:val="32"/>
            <w:szCs w:val="32"/>
          </w:rPr>
          <w:t>theca</w:t>
        </w:r>
      </w:hyperlink>
      <w:r w:rsidRPr="0098259B">
        <w:rPr>
          <w:rFonts w:asciiTheme="majorBidi" w:hAnsiTheme="majorBidi" w:cstheme="majorBidi"/>
          <w:sz w:val="32"/>
          <w:szCs w:val="32"/>
        </w:rPr>
        <w:t xml:space="preserve"> and </w:t>
      </w:r>
      <w:hyperlink r:id="rId29" w:tooltip="Granulosa cell" w:history="1">
        <w:proofErr w:type="spellStart"/>
        <w:r w:rsidRPr="0098259B">
          <w:rPr>
            <w:rStyle w:val="Hyperlink"/>
            <w:rFonts w:asciiTheme="majorBidi" w:hAnsiTheme="majorBidi" w:cstheme="majorBidi"/>
            <w:sz w:val="32"/>
            <w:szCs w:val="32"/>
          </w:rPr>
          <w:t>granulosa</w:t>
        </w:r>
        <w:proofErr w:type="spellEnd"/>
        <w:r w:rsidRPr="0098259B">
          <w:rPr>
            <w:rStyle w:val="Hyperlink"/>
            <w:rFonts w:asciiTheme="majorBidi" w:hAnsiTheme="majorBidi" w:cstheme="majorBidi"/>
            <w:sz w:val="32"/>
            <w:szCs w:val="32"/>
          </w:rPr>
          <w:t xml:space="preserve"> cells</w:t>
        </w:r>
      </w:hyperlink>
      <w:r w:rsidRPr="0098259B">
        <w:rPr>
          <w:rFonts w:asciiTheme="majorBidi" w:hAnsiTheme="majorBidi" w:cstheme="majorBidi"/>
          <w:sz w:val="32"/>
          <w:szCs w:val="32"/>
        </w:rPr>
        <w:t xml:space="preserve">. On day 14 of the cycle, an </w:t>
      </w:r>
      <w:hyperlink r:id="rId30" w:tooltip="LH surge" w:history="1">
        <w:r w:rsidRPr="0098259B">
          <w:rPr>
            <w:rStyle w:val="Hyperlink"/>
            <w:rFonts w:asciiTheme="majorBidi" w:hAnsiTheme="majorBidi" w:cstheme="majorBidi"/>
            <w:sz w:val="32"/>
            <w:szCs w:val="32"/>
          </w:rPr>
          <w:t>LH surge</w:t>
        </w:r>
      </w:hyperlink>
      <w:r w:rsidRPr="0098259B">
        <w:rPr>
          <w:rFonts w:asciiTheme="majorBidi" w:hAnsiTheme="majorBidi" w:cstheme="majorBidi"/>
          <w:sz w:val="32"/>
          <w:szCs w:val="32"/>
        </w:rPr>
        <w:t xml:space="preserve"> occurs, which </w:t>
      </w:r>
      <w:proofErr w:type="gramStart"/>
      <w:r w:rsidRPr="0098259B">
        <w:rPr>
          <w:rFonts w:asciiTheme="majorBidi" w:hAnsiTheme="majorBidi" w:cstheme="majorBidi"/>
          <w:sz w:val="32"/>
          <w:szCs w:val="32"/>
        </w:rPr>
        <w:t>itself</w:t>
      </w:r>
      <w:proofErr w:type="gramEnd"/>
      <w:r w:rsidRPr="0098259B">
        <w:rPr>
          <w:rFonts w:asciiTheme="majorBidi" w:hAnsiTheme="majorBidi" w:cstheme="majorBidi"/>
          <w:sz w:val="32"/>
          <w:szCs w:val="32"/>
        </w:rPr>
        <w:t xml:space="preserve"> is triggered by the positive feedback of estradiol. This causes the secondary follicle to develop into a </w:t>
      </w:r>
      <w:r w:rsidRPr="0098259B">
        <w:rPr>
          <w:rFonts w:asciiTheme="majorBidi" w:hAnsiTheme="majorBidi" w:cstheme="majorBidi"/>
          <w:sz w:val="32"/>
          <w:szCs w:val="32"/>
        </w:rPr>
        <w:lastRenderedPageBreak/>
        <w:t xml:space="preserve">tertiary follicle, which then ovulates some 24–36 hours later. An important event in the development of the tertiary follicle occurs when the primary oocyte completes the first meiotic division, resulting in the formation of a </w:t>
      </w:r>
      <w:hyperlink r:id="rId31" w:tooltip="Polar body" w:history="1">
        <w:r w:rsidRPr="0098259B">
          <w:rPr>
            <w:rStyle w:val="Hyperlink"/>
            <w:rFonts w:asciiTheme="majorBidi" w:hAnsiTheme="majorBidi" w:cstheme="majorBidi"/>
            <w:sz w:val="32"/>
            <w:szCs w:val="32"/>
          </w:rPr>
          <w:t>polar body</w:t>
        </w:r>
      </w:hyperlink>
      <w:r w:rsidRPr="0098259B">
        <w:rPr>
          <w:rFonts w:asciiTheme="majorBidi" w:hAnsiTheme="majorBidi" w:cstheme="majorBidi"/>
          <w:sz w:val="32"/>
          <w:szCs w:val="32"/>
        </w:rPr>
        <w:t xml:space="preserve"> and a secondary oocyte. The empty follicle then forms a </w:t>
      </w:r>
      <w:hyperlink r:id="rId32" w:tooltip="Corpus luteum" w:history="1">
        <w:r w:rsidRPr="0098259B">
          <w:rPr>
            <w:rStyle w:val="Hyperlink"/>
            <w:rFonts w:asciiTheme="majorBidi" w:hAnsiTheme="majorBidi" w:cstheme="majorBidi"/>
            <w:sz w:val="32"/>
            <w:szCs w:val="32"/>
          </w:rPr>
          <w:t xml:space="preserve">corpus </w:t>
        </w:r>
        <w:proofErr w:type="spellStart"/>
        <w:r w:rsidRPr="0098259B">
          <w:rPr>
            <w:rStyle w:val="Hyperlink"/>
            <w:rFonts w:asciiTheme="majorBidi" w:hAnsiTheme="majorBidi" w:cstheme="majorBidi"/>
            <w:sz w:val="32"/>
            <w:szCs w:val="32"/>
          </w:rPr>
          <w:t>luteum</w:t>
        </w:r>
        <w:proofErr w:type="spellEnd"/>
      </w:hyperlink>
      <w:r w:rsidRPr="0098259B">
        <w:rPr>
          <w:rFonts w:asciiTheme="majorBidi" w:hAnsiTheme="majorBidi" w:cstheme="majorBidi"/>
          <w:sz w:val="32"/>
          <w:szCs w:val="32"/>
        </w:rPr>
        <w:t xml:space="preserve"> which later releases progesterone hormone</w:t>
      </w:r>
    </w:p>
    <w:p w:rsidR="0098259B" w:rsidRPr="0098259B" w:rsidRDefault="0098259B" w:rsidP="0098259B">
      <w:pPr>
        <w:autoSpaceDE w:val="0"/>
        <w:autoSpaceDN w:val="0"/>
        <w:bidi w:val="0"/>
        <w:adjustRightInd w:val="0"/>
        <w:spacing w:after="0" w:line="360" w:lineRule="auto"/>
        <w:jc w:val="both"/>
        <w:rPr>
          <w:rFonts w:asciiTheme="majorBidi" w:hAnsiTheme="majorBidi" w:cstheme="majorBidi"/>
          <w:b/>
          <w:bCs/>
          <w:sz w:val="32"/>
          <w:szCs w:val="32"/>
        </w:rPr>
      </w:pPr>
    </w:p>
    <w:p w:rsidR="00A609AD" w:rsidRPr="00A609AD" w:rsidRDefault="00A609AD" w:rsidP="0098259B">
      <w:pPr>
        <w:autoSpaceDE w:val="0"/>
        <w:autoSpaceDN w:val="0"/>
        <w:bidi w:val="0"/>
        <w:adjustRightInd w:val="0"/>
        <w:spacing w:after="0" w:line="360" w:lineRule="auto"/>
        <w:jc w:val="both"/>
        <w:rPr>
          <w:rFonts w:asciiTheme="majorBidi" w:hAnsiTheme="majorBidi" w:cstheme="majorBidi"/>
          <w:b/>
          <w:bCs/>
          <w:sz w:val="32"/>
          <w:szCs w:val="32"/>
        </w:rPr>
      </w:pPr>
      <w:r w:rsidRPr="00A609AD">
        <w:rPr>
          <w:rFonts w:asciiTheme="majorBidi" w:hAnsiTheme="majorBidi" w:cstheme="majorBidi"/>
          <w:b/>
          <w:bCs/>
          <w:sz w:val="32"/>
          <w:szCs w:val="32"/>
        </w:rPr>
        <w:t>Early Embryogenesis</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b/>
          <w:bCs/>
          <w:sz w:val="32"/>
          <w:szCs w:val="32"/>
        </w:rPr>
        <w:t>Embryogenesis</w:t>
      </w:r>
      <w:r w:rsidRPr="00A609AD">
        <w:rPr>
          <w:rFonts w:asciiTheme="majorBidi" w:hAnsiTheme="majorBidi" w:cstheme="majorBidi"/>
          <w:sz w:val="32"/>
          <w:szCs w:val="32"/>
        </w:rPr>
        <w:t>, the formation of body structures &amp; organs (organogenesis), requires cell</w:t>
      </w:r>
      <w:r w:rsidR="00CB2281">
        <w:rPr>
          <w:rFonts w:asciiTheme="majorBidi" w:hAnsiTheme="majorBidi" w:cstheme="majorBidi"/>
          <w:sz w:val="32"/>
          <w:szCs w:val="32"/>
        </w:rPr>
        <w:t xml:space="preserve"> </w:t>
      </w:r>
      <w:bookmarkStart w:id="0" w:name="_GoBack"/>
      <w:bookmarkEnd w:id="0"/>
      <w:r w:rsidRPr="00A609AD">
        <w:rPr>
          <w:rFonts w:asciiTheme="majorBidi" w:hAnsiTheme="majorBidi" w:cstheme="majorBidi"/>
          <w:sz w:val="32"/>
          <w:szCs w:val="32"/>
        </w:rPr>
        <w:t>division (proliferation) and cell differentiation (specialization) to produce the great variety of cell types and extracellular products found in the body. Gene expression (and the resultant protein production) is the ultimate explanation for the process of cell differentiation and embryogenesis. The genetic expression of a particular cell depends on its previous genetic history (commitment) and its current cellular environment (intercellular communication).</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b/>
          <w:bCs/>
          <w:sz w:val="32"/>
          <w:szCs w:val="32"/>
        </w:rPr>
        <w:t xml:space="preserve">Cell differentiation </w:t>
      </w:r>
      <w:r w:rsidRPr="00A609AD">
        <w:rPr>
          <w:rFonts w:asciiTheme="majorBidi" w:hAnsiTheme="majorBidi" w:cstheme="majorBidi"/>
          <w:sz w:val="32"/>
          <w:szCs w:val="32"/>
        </w:rPr>
        <w:t>is the result of cells expressing some genes and suppressing others within a common genome. Cells differ because they produced different proteins/peptides. Pro</w:t>
      </w:r>
      <w:r>
        <w:rPr>
          <w:rFonts w:asciiTheme="majorBidi" w:hAnsiTheme="majorBidi" w:cstheme="majorBidi"/>
          <w:sz w:val="32"/>
          <w:szCs w:val="32"/>
        </w:rPr>
        <w:t>teins &amp; peptides are</w:t>
      </w:r>
      <w:r w:rsidRPr="00A609AD">
        <w:rPr>
          <w:rFonts w:asciiTheme="majorBidi" w:hAnsiTheme="majorBidi" w:cstheme="majorBidi"/>
          <w:sz w:val="32"/>
          <w:szCs w:val="32"/>
        </w:rPr>
        <w:t xml:space="preserve"> structural components (cytoskeleton or extracellular structures)</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sz w:val="32"/>
          <w:szCs w:val="32"/>
        </w:rPr>
        <w:t xml:space="preserve">— </w:t>
      </w:r>
      <w:proofErr w:type="gramStart"/>
      <w:r w:rsidRPr="00A609AD">
        <w:rPr>
          <w:rFonts w:asciiTheme="majorBidi" w:hAnsiTheme="majorBidi" w:cstheme="majorBidi"/>
          <w:sz w:val="32"/>
          <w:szCs w:val="32"/>
        </w:rPr>
        <w:t>enzymes</w:t>
      </w:r>
      <w:proofErr w:type="gramEnd"/>
      <w:r w:rsidRPr="00A609AD">
        <w:rPr>
          <w:rFonts w:asciiTheme="majorBidi" w:hAnsiTheme="majorBidi" w:cstheme="majorBidi"/>
          <w:sz w:val="32"/>
          <w:szCs w:val="32"/>
        </w:rPr>
        <w:t xml:space="preserve"> (controlling cell metabolism)</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sz w:val="32"/>
          <w:szCs w:val="32"/>
        </w:rPr>
        <w:t xml:space="preserve">— </w:t>
      </w:r>
      <w:proofErr w:type="gramStart"/>
      <w:r w:rsidRPr="00A609AD">
        <w:rPr>
          <w:rFonts w:asciiTheme="majorBidi" w:hAnsiTheme="majorBidi" w:cstheme="majorBidi"/>
          <w:sz w:val="32"/>
          <w:szCs w:val="32"/>
        </w:rPr>
        <w:t>secretory</w:t>
      </w:r>
      <w:proofErr w:type="gramEnd"/>
      <w:r w:rsidRPr="00A609AD">
        <w:rPr>
          <w:rFonts w:asciiTheme="majorBidi" w:hAnsiTheme="majorBidi" w:cstheme="majorBidi"/>
          <w:sz w:val="32"/>
          <w:szCs w:val="32"/>
        </w:rPr>
        <w:t xml:space="preserve"> products (e.g., hormones; digestive enzymes; etc.)</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sz w:val="32"/>
          <w:szCs w:val="32"/>
        </w:rPr>
        <w:lastRenderedPageBreak/>
        <w:t xml:space="preserve">— </w:t>
      </w:r>
      <w:proofErr w:type="gramStart"/>
      <w:r w:rsidRPr="00A609AD">
        <w:rPr>
          <w:rFonts w:asciiTheme="majorBidi" w:hAnsiTheme="majorBidi" w:cstheme="majorBidi"/>
          <w:sz w:val="32"/>
          <w:szCs w:val="32"/>
        </w:rPr>
        <w:t>channels</w:t>
      </w:r>
      <w:proofErr w:type="gramEnd"/>
      <w:r w:rsidRPr="00A609AD">
        <w:rPr>
          <w:rFonts w:asciiTheme="majorBidi" w:hAnsiTheme="majorBidi" w:cstheme="majorBidi"/>
          <w:sz w:val="32"/>
          <w:szCs w:val="32"/>
        </w:rPr>
        <w:t xml:space="preserve"> &amp; pumps (passage of molecules across membranes)</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sz w:val="32"/>
          <w:szCs w:val="32"/>
        </w:rPr>
        <w:t xml:space="preserve">— </w:t>
      </w:r>
      <w:proofErr w:type="gramStart"/>
      <w:r w:rsidRPr="00A609AD">
        <w:rPr>
          <w:rFonts w:asciiTheme="majorBidi" w:hAnsiTheme="majorBidi" w:cstheme="majorBidi"/>
          <w:sz w:val="32"/>
          <w:szCs w:val="32"/>
        </w:rPr>
        <w:t>receptors</w:t>
      </w:r>
      <w:proofErr w:type="gramEnd"/>
      <w:r w:rsidRPr="00A609AD">
        <w:rPr>
          <w:rFonts w:asciiTheme="majorBidi" w:hAnsiTheme="majorBidi" w:cstheme="majorBidi"/>
          <w:sz w:val="32"/>
          <w:szCs w:val="32"/>
        </w:rPr>
        <w:t xml:space="preserve"> (communication, etc.)</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r w:rsidRPr="00A609AD">
        <w:rPr>
          <w:rFonts w:asciiTheme="majorBidi" w:hAnsiTheme="majorBidi" w:cstheme="majorBidi"/>
          <w:b/>
          <w:bCs/>
          <w:sz w:val="32"/>
          <w:szCs w:val="32"/>
        </w:rPr>
        <w:t xml:space="preserve">Embryonic Period — </w:t>
      </w:r>
      <w:r w:rsidRPr="00A609AD">
        <w:rPr>
          <w:rFonts w:asciiTheme="majorBidi" w:hAnsiTheme="majorBidi" w:cstheme="majorBidi"/>
          <w:sz w:val="32"/>
          <w:szCs w:val="32"/>
        </w:rPr>
        <w:t>defined as the time from fertilization to the earliest (primordial) stages of</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proofErr w:type="gramStart"/>
      <w:r w:rsidRPr="00A609AD">
        <w:rPr>
          <w:rFonts w:asciiTheme="majorBidi" w:hAnsiTheme="majorBidi" w:cstheme="majorBidi"/>
          <w:sz w:val="32"/>
          <w:szCs w:val="32"/>
        </w:rPr>
        <w:t>organ</w:t>
      </w:r>
      <w:proofErr w:type="gramEnd"/>
      <w:r w:rsidRPr="00A609AD">
        <w:rPr>
          <w:rFonts w:asciiTheme="majorBidi" w:hAnsiTheme="majorBidi" w:cstheme="majorBidi"/>
          <w:sz w:val="32"/>
          <w:szCs w:val="32"/>
        </w:rPr>
        <w:t xml:space="preserve"> development (about 30 days in dog, cat, sheep, pig; almost 60 days in horse, cattle, human).</w:t>
      </w: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proofErr w:type="gramStart"/>
      <w:r w:rsidRPr="00A609AD">
        <w:rPr>
          <w:rFonts w:asciiTheme="majorBidi" w:hAnsiTheme="majorBidi" w:cstheme="majorBidi"/>
          <w:b/>
          <w:bCs/>
          <w:sz w:val="32"/>
          <w:szCs w:val="32"/>
        </w:rPr>
        <w:t xml:space="preserve">Fetal Period — </w:t>
      </w:r>
      <w:r w:rsidRPr="00A609AD">
        <w:rPr>
          <w:rFonts w:asciiTheme="majorBidi" w:hAnsiTheme="majorBidi" w:cstheme="majorBidi"/>
          <w:sz w:val="32"/>
          <w:szCs w:val="32"/>
        </w:rPr>
        <w:t>the time between the embryonic period and parturition (the end of gestation), during which organs grow and begin to function.</w:t>
      </w:r>
      <w:proofErr w:type="gramEnd"/>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sz w:val="32"/>
          <w:szCs w:val="32"/>
        </w:rPr>
      </w:pPr>
    </w:p>
    <w:p w:rsidR="00A609AD" w:rsidRPr="00A609AD" w:rsidRDefault="00A609AD" w:rsidP="00A609AD">
      <w:pPr>
        <w:autoSpaceDE w:val="0"/>
        <w:autoSpaceDN w:val="0"/>
        <w:bidi w:val="0"/>
        <w:adjustRightInd w:val="0"/>
        <w:spacing w:after="0" w:line="360" w:lineRule="auto"/>
        <w:jc w:val="both"/>
        <w:rPr>
          <w:rFonts w:asciiTheme="majorBidi" w:hAnsiTheme="majorBidi" w:cstheme="majorBidi"/>
          <w:b/>
          <w:bCs/>
          <w:sz w:val="32"/>
          <w:szCs w:val="32"/>
        </w:rPr>
      </w:pPr>
      <w:r w:rsidRPr="00A609AD">
        <w:rPr>
          <w:rFonts w:asciiTheme="majorBidi" w:hAnsiTheme="majorBidi" w:cstheme="majorBidi"/>
          <w:b/>
          <w:bCs/>
          <w:sz w:val="32"/>
          <w:szCs w:val="32"/>
        </w:rPr>
        <w:t>Fertilization:</w:t>
      </w:r>
    </w:p>
    <w:p w:rsidR="00E55C42" w:rsidRPr="00810316" w:rsidRDefault="00A609AD" w:rsidP="00810316">
      <w:pPr>
        <w:bidi w:val="0"/>
        <w:spacing w:line="360" w:lineRule="auto"/>
        <w:jc w:val="both"/>
        <w:rPr>
          <w:rFonts w:asciiTheme="majorBidi" w:hAnsiTheme="majorBidi" w:cstheme="majorBidi"/>
          <w:sz w:val="32"/>
          <w:szCs w:val="32"/>
          <w:rtl/>
        </w:rPr>
      </w:pPr>
      <w:r w:rsidRPr="00A609AD">
        <w:rPr>
          <w:rFonts w:asciiTheme="majorBidi" w:hAnsiTheme="majorBidi" w:cstheme="majorBidi"/>
          <w:sz w:val="32"/>
          <w:szCs w:val="32"/>
        </w:rPr>
        <w:t xml:space="preserve">Refers to the union of a haploid oocyte with a haploid spermatozoon to produce a diploid zygote(a single cell capable of developing into a new individual) Oocyte (enveloped by a </w:t>
      </w:r>
      <w:proofErr w:type="spellStart"/>
      <w:r w:rsidRPr="00A609AD">
        <w:rPr>
          <w:rFonts w:asciiTheme="majorBidi" w:hAnsiTheme="majorBidi" w:cstheme="majorBidi"/>
          <w:sz w:val="32"/>
          <w:szCs w:val="32"/>
        </w:rPr>
        <w:t>zona</w:t>
      </w:r>
      <w:proofErr w:type="spellEnd"/>
      <w:r w:rsidRPr="00A609AD">
        <w:rPr>
          <w:rFonts w:asciiTheme="majorBidi" w:hAnsiTheme="majorBidi" w:cstheme="majorBidi"/>
          <w:sz w:val="32"/>
          <w:szCs w:val="32"/>
        </w:rPr>
        <w:t xml:space="preserve"> </w:t>
      </w:r>
      <w:proofErr w:type="spellStart"/>
      <w:r w:rsidRPr="00A609AD">
        <w:rPr>
          <w:rFonts w:asciiTheme="majorBidi" w:hAnsiTheme="majorBidi" w:cstheme="majorBidi"/>
          <w:sz w:val="32"/>
          <w:szCs w:val="32"/>
        </w:rPr>
        <w:t>pellucida</w:t>
      </w:r>
      <w:proofErr w:type="spellEnd"/>
      <w:r w:rsidRPr="00A609AD">
        <w:rPr>
          <w:rFonts w:asciiTheme="majorBidi" w:hAnsiTheme="majorBidi" w:cstheme="majorBidi"/>
          <w:sz w:val="32"/>
          <w:szCs w:val="32"/>
        </w:rPr>
        <w:t xml:space="preserve"> (glycoprotein membrane) and corona </w:t>
      </w:r>
      <w:proofErr w:type="spellStart"/>
      <w:r w:rsidRPr="00A609AD">
        <w:rPr>
          <w:rFonts w:asciiTheme="majorBidi" w:hAnsiTheme="majorBidi" w:cstheme="majorBidi"/>
          <w:sz w:val="32"/>
          <w:szCs w:val="32"/>
        </w:rPr>
        <w:t>radiata</w:t>
      </w:r>
      <w:proofErr w:type="spellEnd"/>
      <w:r w:rsidRPr="00A609AD">
        <w:rPr>
          <w:rFonts w:asciiTheme="majorBidi" w:hAnsiTheme="majorBidi" w:cstheme="majorBidi"/>
          <w:sz w:val="32"/>
          <w:szCs w:val="32"/>
        </w:rPr>
        <w:t xml:space="preserve"> (</w:t>
      </w:r>
      <w:proofErr w:type="spellStart"/>
      <w:r w:rsidRPr="00A609AD">
        <w:rPr>
          <w:rFonts w:asciiTheme="majorBidi" w:hAnsiTheme="majorBidi" w:cstheme="majorBidi"/>
          <w:sz w:val="32"/>
          <w:szCs w:val="32"/>
        </w:rPr>
        <w:t>granulosa</w:t>
      </w:r>
      <w:proofErr w:type="spellEnd"/>
      <w:r w:rsidRPr="00A609AD">
        <w:rPr>
          <w:rFonts w:asciiTheme="majorBidi" w:hAnsiTheme="majorBidi" w:cstheme="majorBidi"/>
          <w:sz w:val="32"/>
          <w:szCs w:val="32"/>
        </w:rPr>
        <w:t xml:space="preserve"> cells) at ovulation) — selective follicles mature at each cycle (in response to circulating FSH hormone from the pituitary) — primary oocytes resume meiosis following ovulation (having been suspended in Meiosis I since before birth by inhibitory secretion of follicle </w:t>
      </w:r>
      <w:proofErr w:type="spellStart"/>
      <w:r w:rsidRPr="00A609AD">
        <w:rPr>
          <w:rFonts w:asciiTheme="majorBidi" w:hAnsiTheme="majorBidi" w:cstheme="majorBidi"/>
          <w:sz w:val="32"/>
          <w:szCs w:val="32"/>
        </w:rPr>
        <w:t>granulosa</w:t>
      </w:r>
      <w:proofErr w:type="spellEnd"/>
      <w:r w:rsidRPr="00A609AD">
        <w:rPr>
          <w:rFonts w:asciiTheme="majorBidi" w:hAnsiTheme="majorBidi" w:cstheme="majorBidi"/>
          <w:sz w:val="32"/>
          <w:szCs w:val="32"/>
        </w:rPr>
        <w:t xml:space="preserve"> cells) — secondary oocytes complete meiosis (Meiosis II) following fertilization (if unfertilized they degenerate). Spermatozoa (several hundred million per ejaculate) — propelled from vagina to uterine tube by contraction of female genital tract— undergo capacitation </w:t>
      </w:r>
      <w:r w:rsidRPr="00A609AD">
        <w:rPr>
          <w:rFonts w:asciiTheme="majorBidi" w:hAnsiTheme="majorBidi" w:cstheme="majorBidi"/>
          <w:sz w:val="32"/>
          <w:szCs w:val="32"/>
        </w:rPr>
        <w:lastRenderedPageBreak/>
        <w:t xml:space="preserve">(removal of surface proteins that impede making contact with oocyte) — undergo </w:t>
      </w:r>
      <w:proofErr w:type="spellStart"/>
      <w:r w:rsidRPr="00A609AD">
        <w:rPr>
          <w:rFonts w:asciiTheme="majorBidi" w:hAnsiTheme="majorBidi" w:cstheme="majorBidi"/>
          <w:sz w:val="32"/>
          <w:szCs w:val="32"/>
        </w:rPr>
        <w:t>acrosomal</w:t>
      </w:r>
      <w:proofErr w:type="spellEnd"/>
      <w:r w:rsidRPr="00A609AD">
        <w:rPr>
          <w:rFonts w:asciiTheme="majorBidi" w:hAnsiTheme="majorBidi" w:cstheme="majorBidi"/>
          <w:sz w:val="32"/>
          <w:szCs w:val="32"/>
        </w:rPr>
        <w:t xml:space="preserve"> reaction (enzyme release) after binding to </w:t>
      </w:r>
      <w:proofErr w:type="spellStart"/>
      <w:r w:rsidRPr="00A609AD">
        <w:rPr>
          <w:rFonts w:asciiTheme="majorBidi" w:hAnsiTheme="majorBidi" w:cstheme="majorBidi"/>
          <w:sz w:val="32"/>
          <w:szCs w:val="32"/>
        </w:rPr>
        <w:t>zona</w:t>
      </w:r>
      <w:proofErr w:type="spellEnd"/>
      <w:r w:rsidRPr="00A609AD">
        <w:rPr>
          <w:rFonts w:asciiTheme="majorBidi" w:hAnsiTheme="majorBidi" w:cstheme="majorBidi"/>
          <w:sz w:val="32"/>
          <w:szCs w:val="32"/>
        </w:rPr>
        <w:t xml:space="preserve"> </w:t>
      </w:r>
      <w:proofErr w:type="spellStart"/>
      <w:r w:rsidRPr="00A609AD">
        <w:rPr>
          <w:rFonts w:asciiTheme="majorBidi" w:hAnsiTheme="majorBidi" w:cstheme="majorBidi"/>
          <w:sz w:val="32"/>
          <w:szCs w:val="32"/>
        </w:rPr>
        <w:t>pellucida</w:t>
      </w:r>
      <w:proofErr w:type="spellEnd"/>
      <w:r w:rsidRPr="00A609AD">
        <w:rPr>
          <w:rFonts w:asciiTheme="majorBidi" w:hAnsiTheme="majorBidi" w:cstheme="majorBidi"/>
          <w:sz w:val="32"/>
          <w:szCs w:val="32"/>
        </w:rPr>
        <w:t xml:space="preserve"> (binding triggers release of </w:t>
      </w:r>
      <w:proofErr w:type="spellStart"/>
      <w:r w:rsidRPr="00A609AD">
        <w:rPr>
          <w:rFonts w:asciiTheme="majorBidi" w:hAnsiTheme="majorBidi" w:cstheme="majorBidi"/>
          <w:sz w:val="32"/>
          <w:szCs w:val="32"/>
        </w:rPr>
        <w:t>acrosomal</w:t>
      </w:r>
      <w:proofErr w:type="spellEnd"/>
      <w:r w:rsidRPr="00A609AD">
        <w:rPr>
          <w:rFonts w:asciiTheme="majorBidi" w:hAnsiTheme="majorBidi" w:cstheme="majorBidi"/>
          <w:sz w:val="32"/>
          <w:szCs w:val="32"/>
        </w:rPr>
        <w:t xml:space="preserve"> enzymes that denature </w:t>
      </w:r>
      <w:proofErr w:type="spellStart"/>
      <w:r w:rsidRPr="00A609AD">
        <w:rPr>
          <w:rFonts w:asciiTheme="majorBidi" w:hAnsiTheme="majorBidi" w:cstheme="majorBidi"/>
          <w:sz w:val="32"/>
          <w:szCs w:val="32"/>
        </w:rPr>
        <w:t>zona</w:t>
      </w:r>
      <w:proofErr w:type="spellEnd"/>
      <w:r w:rsidRPr="00A609AD">
        <w:rPr>
          <w:rFonts w:asciiTheme="majorBidi" w:hAnsiTheme="majorBidi" w:cstheme="majorBidi"/>
          <w:sz w:val="32"/>
          <w:szCs w:val="32"/>
        </w:rPr>
        <w:t xml:space="preserve"> </w:t>
      </w:r>
      <w:proofErr w:type="spellStart"/>
      <w:r w:rsidRPr="00A609AD">
        <w:rPr>
          <w:rFonts w:asciiTheme="majorBidi" w:hAnsiTheme="majorBidi" w:cstheme="majorBidi"/>
          <w:sz w:val="32"/>
          <w:szCs w:val="32"/>
        </w:rPr>
        <w:t>pellucida</w:t>
      </w:r>
      <w:proofErr w:type="spellEnd"/>
      <w:r w:rsidRPr="00A609AD">
        <w:rPr>
          <w:rFonts w:asciiTheme="majorBidi" w:hAnsiTheme="majorBidi" w:cstheme="majorBidi"/>
          <w:sz w:val="32"/>
          <w:szCs w:val="32"/>
        </w:rPr>
        <w:t xml:space="preserve"> proteins to facilitate penetration</w:t>
      </w:r>
      <w:r w:rsidR="00E55C42" w:rsidRPr="00E55C42">
        <w:rPr>
          <w:rFonts w:asciiTheme="majorBidi" w:hAnsiTheme="majorBidi" w:cstheme="majorBidi"/>
          <w:sz w:val="32"/>
          <w:szCs w:val="32"/>
        </w:rPr>
        <w:t xml:space="preserve"> </w:t>
      </w:r>
      <w:r w:rsidR="00E55C42" w:rsidRPr="00A609AD">
        <w:rPr>
          <w:rFonts w:asciiTheme="majorBidi" w:hAnsiTheme="majorBidi" w:cstheme="majorBidi"/>
          <w:sz w:val="32"/>
          <w:szCs w:val="32"/>
        </w:rPr>
        <w:t>by the reactive sperm).</w:t>
      </w:r>
    </w:p>
    <w:sectPr w:rsidR="00E55C42" w:rsidRPr="00810316">
      <w:headerReference w:type="even" r:id="rId33"/>
      <w:headerReference w:type="default" r:id="rId34"/>
      <w:footerReference w:type="even" r:id="rId35"/>
      <w:footerReference w:type="default" r:id="rId36"/>
      <w:headerReference w:type="first" r:id="rId37"/>
      <w:footerReference w:type="first" r:id="rId3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276" w:rsidRDefault="002E1276" w:rsidP="00810316">
      <w:pPr>
        <w:spacing w:after="0" w:line="240" w:lineRule="auto"/>
      </w:pPr>
      <w:r>
        <w:separator/>
      </w:r>
    </w:p>
  </w:endnote>
  <w:endnote w:type="continuationSeparator" w:id="0">
    <w:p w:rsidR="002E1276" w:rsidRDefault="002E1276" w:rsidP="00810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276" w:rsidRDefault="002E1276" w:rsidP="00810316">
      <w:pPr>
        <w:spacing w:after="0" w:line="240" w:lineRule="auto"/>
      </w:pPr>
      <w:r>
        <w:separator/>
      </w:r>
    </w:p>
  </w:footnote>
  <w:footnote w:type="continuationSeparator" w:id="0">
    <w:p w:rsidR="002E1276" w:rsidRDefault="002E1276" w:rsidP="00810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rsidP="00810316">
    <w:pPr>
      <w:pStyle w:val="Header"/>
      <w:tabs>
        <w:tab w:val="left" w:pos="5792"/>
        <w:tab w:val="right" w:pos="9497"/>
      </w:tabs>
      <w:jc w:val="right"/>
      <w:rPr>
        <w:rFonts w:asciiTheme="majorBidi" w:hAnsiTheme="majorBidi" w:cstheme="majorBidi"/>
        <w:sz w:val="24"/>
        <w:szCs w:val="24"/>
        <w:lang w:val="en-ZW" w:bidi="ar-IQ"/>
      </w:rPr>
    </w:pPr>
    <w:proofErr w:type="gramStart"/>
    <w:r>
      <w:rPr>
        <w:rFonts w:asciiTheme="majorBidi" w:hAnsiTheme="majorBidi" w:cstheme="majorBidi"/>
        <w:sz w:val="24"/>
        <w:szCs w:val="24"/>
        <w:lang w:val="en-ZW" w:bidi="ar-IQ"/>
      </w:rPr>
      <w:t>Medical  embryology</w:t>
    </w:r>
    <w:proofErr w:type="gramEnd"/>
    <w:r>
      <w:rPr>
        <w:rFonts w:asciiTheme="majorBidi" w:hAnsiTheme="majorBidi" w:cstheme="majorBidi"/>
        <w:sz w:val="24"/>
        <w:szCs w:val="24"/>
        <w:lang w:val="en-ZW" w:bidi="ar-IQ"/>
      </w:rPr>
      <w:tab/>
      <w:t xml:space="preserve">                   </w:t>
    </w:r>
    <w:r>
      <w:rPr>
        <w:rFonts w:asciiTheme="majorBidi" w:hAnsiTheme="majorBidi" w:cstheme="majorBidi"/>
        <w:sz w:val="24"/>
        <w:szCs w:val="24"/>
        <w:lang w:val="en-ZW" w:bidi="ar-IQ"/>
      </w:rPr>
      <w:tab/>
    </w:r>
    <w:r>
      <w:rPr>
        <w:rFonts w:asciiTheme="majorBidi" w:hAnsiTheme="majorBidi" w:cstheme="majorBidi"/>
        <w:sz w:val="24"/>
        <w:szCs w:val="24"/>
        <w:lang w:val="en-ZW" w:bidi="ar-IQ"/>
      </w:rPr>
      <w:tab/>
    </w:r>
    <w:proofErr w:type="spellStart"/>
    <w:r>
      <w:rPr>
        <w:rFonts w:asciiTheme="majorBidi" w:hAnsiTheme="majorBidi" w:cstheme="majorBidi"/>
        <w:sz w:val="24"/>
        <w:szCs w:val="24"/>
        <w:lang w:val="en-ZW" w:bidi="ar-IQ"/>
      </w:rPr>
      <w:t>Dr.Bassim</w:t>
    </w:r>
    <w:proofErr w:type="spellEnd"/>
    <w:r>
      <w:rPr>
        <w:rFonts w:asciiTheme="majorBidi" w:hAnsiTheme="majorBidi" w:cstheme="majorBidi"/>
        <w:sz w:val="24"/>
        <w:szCs w:val="24"/>
        <w:lang w:val="en-ZW" w:bidi="ar-IQ"/>
      </w:rPr>
      <w:t xml:space="preserve"> Abdullah </w:t>
    </w:r>
    <w:proofErr w:type="spellStart"/>
    <w:r>
      <w:rPr>
        <w:rFonts w:asciiTheme="majorBidi" w:hAnsiTheme="majorBidi" w:cstheme="majorBidi"/>
        <w:sz w:val="24"/>
        <w:szCs w:val="24"/>
        <w:lang w:val="en-ZW" w:bidi="ar-IQ"/>
      </w:rPr>
      <w:t>Jassim</w:t>
    </w:r>
    <w:proofErr w:type="spellEnd"/>
  </w:p>
  <w:p w:rsidR="00810316" w:rsidRDefault="00810316" w:rsidP="00810316">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 xml:space="preserve">College of science </w:t>
    </w:r>
  </w:p>
  <w:p w:rsidR="00810316" w:rsidRDefault="00810316" w:rsidP="00810316">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Forth stage</w:t>
    </w:r>
  </w:p>
  <w:p w:rsidR="00810316" w:rsidRDefault="00810316" w:rsidP="00810316">
    <w:pPr>
      <w:pStyle w:val="Header"/>
      <w:rPr>
        <w:lang w:bidi="ar-IQ"/>
      </w:rPr>
    </w:pPr>
  </w:p>
  <w:p w:rsidR="00810316" w:rsidRDefault="008103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16" w:rsidRDefault="008103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609AD"/>
    <w:rsid w:val="002E1276"/>
    <w:rsid w:val="00810316"/>
    <w:rsid w:val="0098259B"/>
    <w:rsid w:val="00A609AD"/>
    <w:rsid w:val="00CB2281"/>
    <w:rsid w:val="00E55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259B"/>
    <w:rPr>
      <w:color w:val="0000FF"/>
      <w:u w:val="single"/>
    </w:rPr>
  </w:style>
  <w:style w:type="paragraph" w:styleId="NormalWeb">
    <w:name w:val="Normal (Web)"/>
    <w:basedOn w:val="Normal"/>
    <w:rsid w:val="0098259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1031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10316"/>
  </w:style>
  <w:style w:type="paragraph" w:styleId="Footer">
    <w:name w:val="footer"/>
    <w:basedOn w:val="Normal"/>
    <w:link w:val="FooterChar"/>
    <w:uiPriority w:val="99"/>
    <w:semiHidden/>
    <w:unhideWhenUsed/>
    <w:rsid w:val="0081031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103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iosis" TargetMode="External"/><Relationship Id="rId13" Type="http://schemas.openxmlformats.org/officeDocument/2006/relationships/hyperlink" Target="https://en.wikipedia.org/wiki/Hormone" TargetMode="External"/><Relationship Id="rId18" Type="http://schemas.openxmlformats.org/officeDocument/2006/relationships/hyperlink" Target="https://en.wikipedia.org/wiki/Germinal_epithelium_%28female%29" TargetMode="External"/><Relationship Id="rId26" Type="http://schemas.openxmlformats.org/officeDocument/2006/relationships/hyperlink" Target="https://en.wikipedia.org/wiki/Ovarian_follicle_atresi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Oogonium" TargetMode="External"/><Relationship Id="rId34" Type="http://schemas.openxmlformats.org/officeDocument/2006/relationships/header" Target="header2.xml"/><Relationship Id="rId7" Type="http://schemas.openxmlformats.org/officeDocument/2006/relationships/hyperlink" Target="https://en.wikipedia.org/wiki/Spermatogonia" TargetMode="External"/><Relationship Id="rId12" Type="http://schemas.openxmlformats.org/officeDocument/2006/relationships/hyperlink" Target="https://en.wikipedia.org/wiki/Sperm" TargetMode="External"/><Relationship Id="rId17" Type="http://schemas.openxmlformats.org/officeDocument/2006/relationships/hyperlink" Target="https://en.wikipedia.org/wiki/Mammal" TargetMode="External"/><Relationship Id="rId25" Type="http://schemas.openxmlformats.org/officeDocument/2006/relationships/hyperlink" Target="https://en.wikipedia.org/wiki/Follicle-stimulating_hormone" TargetMode="External"/><Relationship Id="rId33" Type="http://schemas.openxmlformats.org/officeDocument/2006/relationships/header" Target="header1.xml"/><Relationship Id="rId38"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yperlink" Target="https://en.wikipedia.org/wiki/Oocyte" TargetMode="External"/><Relationship Id="rId20" Type="http://schemas.openxmlformats.org/officeDocument/2006/relationships/hyperlink" Target="https://en.wikipedia.org/wiki/Ovary" TargetMode="External"/><Relationship Id="rId29" Type="http://schemas.openxmlformats.org/officeDocument/2006/relationships/hyperlink" Target="https://en.wikipedia.org/wiki/Granulosa_cel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n.wikipedia.org/wiki/Spermatids" TargetMode="External"/><Relationship Id="rId24" Type="http://schemas.openxmlformats.org/officeDocument/2006/relationships/hyperlink" Target="https://en.wikipedia.org/wiki/Oocytogenesis" TargetMode="External"/><Relationship Id="rId32" Type="http://schemas.openxmlformats.org/officeDocument/2006/relationships/hyperlink" Target="https://en.wikipedia.org/wiki/Corpus_luteu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Oocyte" TargetMode="External"/><Relationship Id="rId23" Type="http://schemas.openxmlformats.org/officeDocument/2006/relationships/hyperlink" Target="https://en.wikipedia.org/wiki/Oocyte" TargetMode="External"/><Relationship Id="rId28" Type="http://schemas.openxmlformats.org/officeDocument/2006/relationships/hyperlink" Target="https://en.wikipedia.org/wiki/Theca_cell" TargetMode="External"/><Relationship Id="rId36" Type="http://schemas.openxmlformats.org/officeDocument/2006/relationships/footer" Target="footer2.xml"/><Relationship Id="rId10" Type="http://schemas.openxmlformats.org/officeDocument/2006/relationships/hyperlink" Target="https://en.wikipedia.org/wiki/Spermatocytes" TargetMode="External"/><Relationship Id="rId19" Type="http://schemas.openxmlformats.org/officeDocument/2006/relationships/hyperlink" Target="https://en.wikipedia.org/wiki/Ovarian_follicles" TargetMode="External"/><Relationship Id="rId31" Type="http://schemas.openxmlformats.org/officeDocument/2006/relationships/hyperlink" Target="https://en.wikipedia.org/wiki/Polar_body" TargetMode="External"/><Relationship Id="rId4" Type="http://schemas.openxmlformats.org/officeDocument/2006/relationships/webSettings" Target="webSettings.xml"/><Relationship Id="rId9" Type="http://schemas.openxmlformats.org/officeDocument/2006/relationships/hyperlink" Target="https://en.wikipedia.org/wiki/Spermatozoa" TargetMode="External"/><Relationship Id="rId14" Type="http://schemas.openxmlformats.org/officeDocument/2006/relationships/hyperlink" Target="https://en.wikipedia.org/wiki/Ovum" TargetMode="External"/><Relationship Id="rId22" Type="http://schemas.openxmlformats.org/officeDocument/2006/relationships/hyperlink" Target="https://en.wikipedia.org/wiki/Ovarian_follicle" TargetMode="External"/><Relationship Id="rId27" Type="http://schemas.openxmlformats.org/officeDocument/2006/relationships/hyperlink" Target="https://en.wikipedia.org/wiki/Estradiol" TargetMode="External"/><Relationship Id="rId30" Type="http://schemas.openxmlformats.org/officeDocument/2006/relationships/hyperlink" Target="https://en.wikipedia.org/wiki/LH_surge" TargetMode="External"/><Relationship Id="rId35"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dc:creator>
  <cp:keywords/>
  <dc:description/>
  <cp:lastModifiedBy>DR.Ahmed Saker 2o1O</cp:lastModifiedBy>
  <cp:revision>6</cp:revision>
  <dcterms:created xsi:type="dcterms:W3CDTF">2014-05-29T07:48:00Z</dcterms:created>
  <dcterms:modified xsi:type="dcterms:W3CDTF">2016-03-05T08:36:00Z</dcterms:modified>
</cp:coreProperties>
</file>